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40" w:rsidRPr="000D6AE2" w:rsidRDefault="00560DFA" w:rsidP="00477795">
      <w:pPr>
        <w:bidi/>
        <w:rPr>
          <w:rFonts w:cstheme="minorHAnsi"/>
          <w:sz w:val="24"/>
          <w:szCs w:val="24"/>
          <w:u w:val="single"/>
          <w:rtl/>
        </w:rPr>
      </w:pPr>
      <w:r w:rsidRPr="000D6AE2">
        <w:rPr>
          <w:rFonts w:cstheme="minorHAnsi"/>
          <w:sz w:val="24"/>
          <w:szCs w:val="24"/>
          <w:u w:val="single"/>
          <w:rtl/>
        </w:rPr>
        <w:t xml:space="preserve">תיקים </w:t>
      </w:r>
      <w:r w:rsidR="00D473DF">
        <w:rPr>
          <w:rFonts w:cstheme="minorHAnsi" w:hint="cs"/>
          <w:sz w:val="24"/>
          <w:szCs w:val="24"/>
          <w:u w:val="single"/>
          <w:rtl/>
        </w:rPr>
        <w:t>בין לאומיים משמעותיים</w:t>
      </w:r>
      <w:r w:rsidRPr="000D6AE2">
        <w:rPr>
          <w:rFonts w:cstheme="minorHAnsi"/>
          <w:sz w:val="24"/>
          <w:szCs w:val="24"/>
          <w:u w:val="single"/>
          <w:rtl/>
        </w:rPr>
        <w:t xml:space="preserve"> </w:t>
      </w:r>
      <w:r w:rsidR="00477795">
        <w:rPr>
          <w:rFonts w:cstheme="minorHAnsi" w:hint="cs"/>
          <w:sz w:val="24"/>
          <w:szCs w:val="24"/>
          <w:u w:val="single"/>
          <w:rtl/>
        </w:rPr>
        <w:t xml:space="preserve">בנושא </w:t>
      </w:r>
      <w:r w:rsidRPr="000D6AE2">
        <w:rPr>
          <w:rFonts w:cstheme="minorHAnsi"/>
          <w:sz w:val="24"/>
          <w:szCs w:val="24"/>
          <w:u w:val="single"/>
          <w:rtl/>
        </w:rPr>
        <w:t>סחר, עבדות, שעבוד ועבודת כפייה</w:t>
      </w:r>
    </w:p>
    <w:p w:rsidR="00560DFA" w:rsidRPr="000D6AE2" w:rsidRDefault="00560DFA" w:rsidP="00C96D4F">
      <w:pPr>
        <w:bidi/>
        <w:jc w:val="both"/>
        <w:rPr>
          <w:rFonts w:cstheme="minorHAnsi"/>
          <w:sz w:val="24"/>
          <w:szCs w:val="24"/>
          <w:rtl/>
        </w:rPr>
      </w:pPr>
      <w:r w:rsidRPr="000D6AE2">
        <w:rPr>
          <w:rFonts w:cstheme="minorHAnsi"/>
          <w:sz w:val="24"/>
          <w:szCs w:val="24"/>
          <w:rtl/>
        </w:rPr>
        <w:t>עמוד זה מרכז פסקי דין משמעותיים שעסקו בסחר בבני אדם, בעבדות ועבודה כפייה</w:t>
      </w:r>
      <w:r w:rsidR="00C96D4F">
        <w:rPr>
          <w:rFonts w:cstheme="minorHAnsi" w:hint="cs"/>
          <w:sz w:val="24"/>
          <w:szCs w:val="24"/>
          <w:rtl/>
        </w:rPr>
        <w:t xml:space="preserve"> במשפט הבין-לאומי, בהליכים פליליים או בהליכים להגנה על זכויות אדם</w:t>
      </w:r>
      <w:r w:rsidRPr="000D6AE2">
        <w:rPr>
          <w:rFonts w:cstheme="minorHAnsi"/>
          <w:sz w:val="24"/>
          <w:szCs w:val="24"/>
          <w:rtl/>
        </w:rPr>
        <w:t xml:space="preserve">. </w:t>
      </w:r>
    </w:p>
    <w:p w:rsidR="00560DFA" w:rsidRPr="000D6AE2" w:rsidRDefault="00560DFA" w:rsidP="00C96D4F">
      <w:pPr>
        <w:bidi/>
        <w:jc w:val="both"/>
        <w:rPr>
          <w:rFonts w:cstheme="minorHAnsi"/>
          <w:sz w:val="24"/>
          <w:szCs w:val="24"/>
          <w:rtl/>
        </w:rPr>
      </w:pPr>
      <w:r w:rsidRPr="000D6AE2">
        <w:rPr>
          <w:rFonts w:cstheme="minorHAnsi"/>
          <w:sz w:val="24"/>
          <w:szCs w:val="24"/>
          <w:rtl/>
        </w:rPr>
        <w:t>ביחס לכל</w:t>
      </w:r>
      <w:r w:rsidR="00C96D4F">
        <w:rPr>
          <w:rFonts w:cstheme="minorHAnsi"/>
          <w:sz w:val="24"/>
          <w:szCs w:val="24"/>
          <w:rtl/>
        </w:rPr>
        <w:t xml:space="preserve"> פסק דין מצוין מתי והיכן ניתן, </w:t>
      </w:r>
      <w:r w:rsidRPr="000D6AE2">
        <w:rPr>
          <w:rFonts w:cstheme="minorHAnsi"/>
          <w:sz w:val="24"/>
          <w:szCs w:val="24"/>
          <w:rtl/>
        </w:rPr>
        <w:t xml:space="preserve">מוצגת תמצית שלו בעברית, </w:t>
      </w:r>
      <w:r w:rsidR="00C96D4F">
        <w:rPr>
          <w:rFonts w:cstheme="minorHAnsi" w:hint="cs"/>
          <w:sz w:val="24"/>
          <w:szCs w:val="24"/>
          <w:rtl/>
        </w:rPr>
        <w:t>ומצוינות</w:t>
      </w:r>
      <w:r w:rsidRPr="000D6AE2">
        <w:rPr>
          <w:rFonts w:cstheme="minorHAnsi"/>
          <w:sz w:val="24"/>
          <w:szCs w:val="24"/>
          <w:rtl/>
        </w:rPr>
        <w:t xml:space="preserve"> הסוגיות המרכזיות בהן הוא עוסק.</w:t>
      </w:r>
      <w:r w:rsidR="00C96D4F">
        <w:rPr>
          <w:rFonts w:cstheme="minorHAnsi" w:hint="cs"/>
          <w:sz w:val="24"/>
          <w:szCs w:val="24"/>
          <w:rtl/>
        </w:rPr>
        <w:t xml:space="preserve"> </w:t>
      </w:r>
      <w:r w:rsidRPr="000D6AE2">
        <w:rPr>
          <w:rFonts w:cstheme="minorHAnsi"/>
          <w:sz w:val="24"/>
          <w:szCs w:val="24"/>
          <w:rtl/>
        </w:rPr>
        <w:t xml:space="preserve"> </w:t>
      </w:r>
    </w:p>
    <w:p w:rsidR="00560DFA" w:rsidRPr="000D6AE2" w:rsidRDefault="00560DFA" w:rsidP="00040980">
      <w:pPr>
        <w:bidi/>
        <w:jc w:val="both"/>
        <w:rPr>
          <w:rFonts w:cstheme="minorHAnsi"/>
          <w:sz w:val="24"/>
          <w:szCs w:val="24"/>
          <w:rtl/>
        </w:rPr>
      </w:pPr>
      <w:r w:rsidRPr="000D6AE2">
        <w:rPr>
          <w:rFonts w:cstheme="minorHAnsi"/>
          <w:sz w:val="24"/>
          <w:szCs w:val="24"/>
          <w:rtl/>
        </w:rPr>
        <w:t xml:space="preserve">מקורות נוספים (כולל הפניות לפסקי דין והתפתחויות במדינות שונות) ניתן למצוא באמצעות </w:t>
      </w:r>
      <w:r w:rsidRPr="00C96D4F">
        <w:rPr>
          <w:rFonts w:cstheme="minorHAnsi"/>
          <w:color w:val="0070C0"/>
          <w:sz w:val="24"/>
          <w:szCs w:val="24"/>
          <w:u w:val="single"/>
          <w:rtl/>
        </w:rPr>
        <w:t>המקורות לקריאה נוספת</w:t>
      </w:r>
      <w:r w:rsidR="00040980">
        <w:rPr>
          <w:rFonts w:cstheme="minorHAnsi"/>
          <w:sz w:val="24"/>
          <w:szCs w:val="24"/>
          <w:rtl/>
        </w:rPr>
        <w:t xml:space="preserve"> </w:t>
      </w:r>
      <w:bookmarkStart w:id="0" w:name="_GoBack"/>
      <w:bookmarkEnd w:id="0"/>
      <w:r w:rsidRPr="000D6AE2">
        <w:rPr>
          <w:rFonts w:cstheme="minorHAnsi"/>
          <w:sz w:val="24"/>
          <w:szCs w:val="24"/>
          <w:rtl/>
        </w:rPr>
        <w:t xml:space="preserve"> </w:t>
      </w:r>
    </w:p>
    <w:p w:rsidR="007501B0" w:rsidRPr="000D6AE2" w:rsidRDefault="007501B0" w:rsidP="007501B0">
      <w:pPr>
        <w:bidi/>
        <w:rPr>
          <w:rFonts w:cstheme="minorHAnsi"/>
          <w:sz w:val="24"/>
          <w:szCs w:val="24"/>
          <w:rtl/>
        </w:rPr>
      </w:pPr>
    </w:p>
    <w:p w:rsidR="006D1ACD" w:rsidRPr="000D6AE2" w:rsidRDefault="000B61CC" w:rsidP="00880A4E">
      <w:pPr>
        <w:bidi/>
        <w:rPr>
          <w:rFonts w:cstheme="minorHAnsi"/>
          <w:sz w:val="24"/>
          <w:szCs w:val="24"/>
          <w:u w:val="single"/>
        </w:rPr>
      </w:pPr>
      <w:r w:rsidRPr="000D6AE2">
        <w:rPr>
          <w:rFonts w:cstheme="minorHAnsi"/>
          <w:sz w:val="24"/>
          <w:szCs w:val="24"/>
          <w:u w:val="single"/>
          <w:rtl/>
        </w:rPr>
        <w:t>סחר ועבדות במשפט הבין-לאומי</w:t>
      </w:r>
    </w:p>
    <w:p w:rsidR="000D6AE2" w:rsidRPr="000D6AE2" w:rsidRDefault="00040980" w:rsidP="000D6AE2">
      <w:pPr>
        <w:bidi/>
        <w:rPr>
          <w:rFonts w:cstheme="minorHAnsi"/>
          <w:sz w:val="24"/>
          <w:szCs w:val="24"/>
          <w:rtl/>
          <w:lang w:val="en-US"/>
        </w:rPr>
      </w:pPr>
      <w:hyperlink r:id="rId5" w:history="1">
        <w:r w:rsidR="000D6AE2" w:rsidRPr="000D6AE2">
          <w:rPr>
            <w:rStyle w:val="Hyperlink"/>
            <w:rFonts w:cstheme="minorHAnsi"/>
            <w:sz w:val="24"/>
            <w:szCs w:val="24"/>
          </w:rPr>
          <w:t>Prosecutor v. Kunarac et al</w:t>
        </w:r>
      </w:hyperlink>
      <w:r w:rsidR="000D6AE2" w:rsidRPr="000D6AE2">
        <w:rPr>
          <w:rFonts w:cstheme="minorHAnsi"/>
          <w:sz w:val="24"/>
          <w:szCs w:val="24"/>
          <w:rtl/>
        </w:rPr>
        <w:t xml:space="preserve">  בית הדין הפלילי ליוגוסלביה (</w:t>
      </w:r>
      <w:r w:rsidR="000D6AE2" w:rsidRPr="000D6AE2">
        <w:rPr>
          <w:rFonts w:cstheme="minorHAnsi"/>
          <w:sz w:val="24"/>
          <w:szCs w:val="24"/>
          <w:lang w:val="en-US"/>
        </w:rPr>
        <w:t>ICTY</w:t>
      </w:r>
      <w:r w:rsidR="000D6AE2" w:rsidRPr="000D6AE2">
        <w:rPr>
          <w:rFonts w:cstheme="minorHAnsi"/>
          <w:sz w:val="24"/>
          <w:szCs w:val="24"/>
          <w:rtl/>
          <w:lang w:val="en-US"/>
        </w:rPr>
        <w:t>), 2001 (ערכאה ראשונה), 2002 (ערכאת ערעור)</w:t>
      </w:r>
    </w:p>
    <w:p w:rsidR="000D6AE2" w:rsidRDefault="000D6AE2" w:rsidP="006D1ACD">
      <w:pPr>
        <w:bidi/>
        <w:jc w:val="both"/>
        <w:rPr>
          <w:rFonts w:cstheme="minorHAnsi"/>
          <w:sz w:val="24"/>
          <w:szCs w:val="24"/>
          <w:lang w:val="en-US"/>
        </w:rPr>
      </w:pPr>
      <w:r w:rsidRPr="000D6AE2">
        <w:rPr>
          <w:rFonts w:cstheme="minorHAnsi"/>
          <w:sz w:val="24"/>
          <w:szCs w:val="24"/>
          <w:rtl/>
          <w:lang w:val="en-US"/>
        </w:rPr>
        <w:t xml:space="preserve">ההליך הוא אחד מההליכים הפליליים שהתנהלו בבית הדין ועסקו בפשעים שהתרחשו בבלקנים בשנות התשעים. </w:t>
      </w:r>
      <w:r>
        <w:rPr>
          <w:rFonts w:cstheme="minorHAnsi" w:hint="cs"/>
          <w:sz w:val="24"/>
          <w:szCs w:val="24"/>
          <w:rtl/>
          <w:lang w:val="en-US"/>
        </w:rPr>
        <w:t xml:space="preserve">הנאשמים, חיילים סרבים, </w:t>
      </w:r>
      <w:r w:rsidR="0005232A">
        <w:rPr>
          <w:rFonts w:cstheme="minorHAnsi" w:hint="cs"/>
          <w:sz w:val="24"/>
          <w:szCs w:val="24"/>
          <w:rtl/>
          <w:lang w:val="en-US"/>
        </w:rPr>
        <w:t>הורשעו</w:t>
      </w:r>
      <w:r>
        <w:rPr>
          <w:rFonts w:cstheme="minorHAnsi" w:hint="cs"/>
          <w:sz w:val="24"/>
          <w:szCs w:val="24"/>
          <w:rtl/>
          <w:lang w:val="en-US"/>
        </w:rPr>
        <w:t xml:space="preserve"> בשורה של עבירות מין ועינויים</w:t>
      </w:r>
      <w:r w:rsidR="003B0F3C">
        <w:rPr>
          <w:rFonts w:cstheme="minorHAnsi" w:hint="cs"/>
          <w:sz w:val="24"/>
          <w:szCs w:val="24"/>
          <w:rtl/>
          <w:lang w:val="en-US"/>
        </w:rPr>
        <w:t xml:space="preserve"> כחלק ממבצע של טיהור אתני באזור </w:t>
      </w:r>
      <w:r w:rsidR="003B0F3C">
        <w:rPr>
          <w:rFonts w:cstheme="minorHAnsi"/>
          <w:sz w:val="24"/>
          <w:szCs w:val="24"/>
          <w:lang w:val="en-US"/>
        </w:rPr>
        <w:t>Foca</w:t>
      </w:r>
      <w:r>
        <w:rPr>
          <w:rFonts w:cstheme="minorHAnsi" w:hint="cs"/>
          <w:sz w:val="24"/>
          <w:szCs w:val="24"/>
          <w:rtl/>
          <w:lang w:val="en-US"/>
        </w:rPr>
        <w:t xml:space="preserve">. </w:t>
      </w:r>
      <w:r w:rsidR="0005232A">
        <w:rPr>
          <w:rFonts w:cstheme="minorHAnsi" w:hint="cs"/>
          <w:sz w:val="24"/>
          <w:szCs w:val="24"/>
          <w:rtl/>
          <w:lang w:val="en-US"/>
        </w:rPr>
        <w:t xml:space="preserve">ההרשעה </w:t>
      </w:r>
      <w:r w:rsidR="001264D5">
        <w:rPr>
          <w:rFonts w:cstheme="minorHAnsi" w:hint="cs"/>
          <w:sz w:val="24"/>
          <w:szCs w:val="24"/>
          <w:rtl/>
          <w:lang w:val="en-US"/>
        </w:rPr>
        <w:t>בעבדות</w:t>
      </w:r>
      <w:r w:rsidR="0005232A">
        <w:rPr>
          <w:rFonts w:cstheme="minorHAnsi" w:hint="cs"/>
          <w:sz w:val="24"/>
          <w:szCs w:val="24"/>
          <w:rtl/>
          <w:lang w:val="en-US"/>
        </w:rPr>
        <w:t xml:space="preserve"> (</w:t>
      </w:r>
      <w:r w:rsidR="0005232A">
        <w:rPr>
          <w:rFonts w:cstheme="minorHAnsi"/>
          <w:sz w:val="24"/>
          <w:szCs w:val="24"/>
          <w:lang w:val="en-US"/>
        </w:rPr>
        <w:t>enslavement</w:t>
      </w:r>
      <w:r w:rsidR="0005232A">
        <w:rPr>
          <w:rFonts w:cstheme="minorHAnsi" w:hint="cs"/>
          <w:sz w:val="24"/>
          <w:szCs w:val="24"/>
          <w:rtl/>
          <w:lang w:val="en-US"/>
        </w:rPr>
        <w:t>) התבססה על החזקת</w:t>
      </w:r>
      <w:r>
        <w:rPr>
          <w:rFonts w:cstheme="minorHAnsi" w:hint="cs"/>
          <w:sz w:val="24"/>
          <w:szCs w:val="24"/>
          <w:rtl/>
          <w:lang w:val="en-US"/>
        </w:rPr>
        <w:t xml:space="preserve"> קבוצת נערות בוסניות </w:t>
      </w:r>
      <w:r w:rsidR="0005232A">
        <w:rPr>
          <w:rFonts w:cstheme="minorHAnsi" w:hint="cs"/>
          <w:sz w:val="24"/>
          <w:szCs w:val="24"/>
          <w:rtl/>
          <w:lang w:val="en-US"/>
        </w:rPr>
        <w:t xml:space="preserve">בדירות באזור, מעשי אונס חוזרים ונשנים שלהן, אילוצן לבצע עבודות בית, </w:t>
      </w:r>
      <w:r w:rsidR="003B0F3C">
        <w:rPr>
          <w:rFonts w:cstheme="minorHAnsi" w:hint="cs"/>
          <w:sz w:val="24"/>
          <w:szCs w:val="24"/>
          <w:rtl/>
          <w:lang w:val="en-US"/>
        </w:rPr>
        <w:t xml:space="preserve">ו"השכרה" או "העברה" שלהן לחיילים אחרים שיאנסו אותן ויתעללו בהן. </w:t>
      </w:r>
      <w:r w:rsidR="001264D5">
        <w:rPr>
          <w:rFonts w:cstheme="minorHAnsi" w:hint="cs"/>
          <w:sz w:val="24"/>
          <w:szCs w:val="24"/>
          <w:rtl/>
          <w:lang w:val="en-US"/>
        </w:rPr>
        <w:t xml:space="preserve">בית הדין ייחס חשיבות מיוחדת לכליאתן של הנערות, העובדה שנאלצו לעשות כל מה שהורו להן, הטענה ל"בלעדיות" של אחד הנאשמים באחת הנערות, יחס משפיל והיעדר כל שליטה של הנערות בחייהן  לצורך ההרשעה בעבדות. בית הדין פירט בפסק הדין שורה של אינדיקציות לשליטה ולעבדות. </w:t>
      </w:r>
    </w:p>
    <w:p w:rsidR="000D6AE2" w:rsidRDefault="000D6AE2" w:rsidP="000E456F">
      <w:pPr>
        <w:bidi/>
        <w:rPr>
          <w:rFonts w:cstheme="minorHAnsi"/>
          <w:sz w:val="24"/>
          <w:szCs w:val="24"/>
          <w:rtl/>
          <w:lang w:val="en-US"/>
        </w:rPr>
      </w:pPr>
      <w:r w:rsidRPr="00760081">
        <w:rPr>
          <w:rFonts w:cstheme="minorHAnsi" w:hint="cs"/>
          <w:sz w:val="24"/>
          <w:szCs w:val="24"/>
          <w:u w:val="single"/>
          <w:rtl/>
          <w:lang w:val="en-US"/>
        </w:rPr>
        <w:t>סוגיות מרכזיות</w:t>
      </w:r>
      <w:r>
        <w:rPr>
          <w:rFonts w:cstheme="minorHAnsi" w:hint="cs"/>
          <w:sz w:val="24"/>
          <w:szCs w:val="24"/>
          <w:rtl/>
          <w:lang w:val="en-US"/>
        </w:rPr>
        <w:t xml:space="preserve">: </w:t>
      </w:r>
      <w:r w:rsidR="006D1ACD">
        <w:rPr>
          <w:rFonts w:cstheme="minorHAnsi" w:hint="cs"/>
          <w:sz w:val="24"/>
          <w:szCs w:val="24"/>
          <w:rtl/>
          <w:lang w:val="en-US"/>
        </w:rPr>
        <w:t xml:space="preserve">הגדרת עבדות בדין הבין-לאומי; </w:t>
      </w:r>
      <w:r w:rsidR="00760081">
        <w:rPr>
          <w:rFonts w:cstheme="minorHAnsi" w:hint="cs"/>
          <w:sz w:val="24"/>
          <w:szCs w:val="24"/>
          <w:rtl/>
          <w:lang w:val="en-US"/>
        </w:rPr>
        <w:t xml:space="preserve">פירוט </w:t>
      </w:r>
      <w:r w:rsidR="000E456F">
        <w:rPr>
          <w:rFonts w:cstheme="minorHAnsi" w:hint="cs"/>
          <w:sz w:val="24"/>
          <w:szCs w:val="24"/>
          <w:rtl/>
          <w:lang w:val="en-US"/>
        </w:rPr>
        <w:t xml:space="preserve">אינדיקציות לשליטה; פירוט אינדיקציות לעבדות; </w:t>
      </w:r>
      <w:r w:rsidR="00760081">
        <w:rPr>
          <w:rFonts w:cstheme="minorHAnsi" w:hint="cs"/>
          <w:sz w:val="24"/>
          <w:szCs w:val="24"/>
          <w:rtl/>
          <w:lang w:val="en-US"/>
        </w:rPr>
        <w:t>ההרשעה</w:t>
      </w:r>
      <w:r w:rsidR="00A70173">
        <w:rPr>
          <w:rFonts w:cstheme="minorHAnsi" w:hint="cs"/>
          <w:sz w:val="24"/>
          <w:szCs w:val="24"/>
          <w:rtl/>
          <w:lang w:val="en-US"/>
        </w:rPr>
        <w:t xml:space="preserve"> הראשונה בעבדות כפשע נגד האנושות</w:t>
      </w:r>
      <w:r w:rsidR="00C96D4F">
        <w:rPr>
          <w:rFonts w:cstheme="minorHAnsi" w:hint="cs"/>
          <w:sz w:val="24"/>
          <w:szCs w:val="24"/>
          <w:rtl/>
          <w:lang w:val="en-US"/>
        </w:rPr>
        <w:t xml:space="preserve">. </w:t>
      </w:r>
    </w:p>
    <w:p w:rsidR="00C96D4F" w:rsidRPr="000D6AE2" w:rsidRDefault="00C96D4F" w:rsidP="00C96D4F">
      <w:pPr>
        <w:bidi/>
        <w:rPr>
          <w:rFonts w:cstheme="minorHAnsi"/>
          <w:sz w:val="24"/>
          <w:szCs w:val="24"/>
          <w:rtl/>
          <w:lang w:val="en-US"/>
        </w:rPr>
      </w:pPr>
    </w:p>
    <w:p w:rsidR="000B61CC" w:rsidRDefault="00040980" w:rsidP="000B61CC">
      <w:pPr>
        <w:bidi/>
        <w:rPr>
          <w:rFonts w:cstheme="minorHAnsi"/>
          <w:sz w:val="24"/>
          <w:szCs w:val="24"/>
          <w:lang w:val="en-US"/>
        </w:rPr>
      </w:pPr>
      <w:hyperlink r:id="rId6" w:history="1">
        <w:r w:rsidR="00A2099D" w:rsidRPr="000D6AE2">
          <w:rPr>
            <w:rStyle w:val="Hyperlink"/>
            <w:rFonts w:cstheme="minorHAnsi"/>
            <w:sz w:val="24"/>
            <w:szCs w:val="24"/>
            <w:lang w:val="en-US"/>
          </w:rPr>
          <w:t>Siliadin v France</w:t>
        </w:r>
      </w:hyperlink>
      <w:r w:rsidR="00A2099D" w:rsidRPr="000D6AE2">
        <w:rPr>
          <w:rFonts w:cstheme="minorHAnsi"/>
          <w:sz w:val="24"/>
          <w:szCs w:val="24"/>
          <w:rtl/>
          <w:lang w:val="en-US"/>
        </w:rPr>
        <w:t xml:space="preserve"> – בית הדין האירופי לזכויות אדם (</w:t>
      </w:r>
      <w:r w:rsidR="00A2099D" w:rsidRPr="000D6AE2">
        <w:rPr>
          <w:rFonts w:cstheme="minorHAnsi"/>
          <w:sz w:val="24"/>
          <w:szCs w:val="24"/>
          <w:lang w:val="en-US"/>
        </w:rPr>
        <w:t>ECHR</w:t>
      </w:r>
      <w:r w:rsidR="00A2099D" w:rsidRPr="000D6AE2">
        <w:rPr>
          <w:rFonts w:cstheme="minorHAnsi"/>
          <w:sz w:val="24"/>
          <w:szCs w:val="24"/>
          <w:rtl/>
          <w:lang w:val="en-US"/>
        </w:rPr>
        <w:t xml:space="preserve">), </w:t>
      </w:r>
      <w:r w:rsidR="00E73BA6">
        <w:rPr>
          <w:rFonts w:cstheme="minorHAnsi" w:hint="cs"/>
          <w:sz w:val="24"/>
          <w:szCs w:val="24"/>
          <w:rtl/>
          <w:lang w:val="en-US"/>
        </w:rPr>
        <w:t>2005</w:t>
      </w:r>
    </w:p>
    <w:p w:rsidR="006D1ACD" w:rsidRDefault="006D1ACD" w:rsidP="00270775">
      <w:pPr>
        <w:bidi/>
        <w:spacing w:after="0" w:line="240" w:lineRule="auto"/>
        <w:jc w:val="both"/>
        <w:rPr>
          <w:rFonts w:cstheme="minorHAnsi"/>
          <w:sz w:val="24"/>
          <w:szCs w:val="24"/>
          <w:rtl/>
          <w:lang w:val="en-US"/>
        </w:rPr>
      </w:pPr>
      <w:r w:rsidRPr="006D1ACD">
        <w:rPr>
          <w:rFonts w:cstheme="minorHAnsi"/>
          <w:sz w:val="24"/>
          <w:szCs w:val="24"/>
          <w:lang w:val="en-US"/>
        </w:rPr>
        <w:t>Siwa-Akofa Siliadin</w:t>
      </w:r>
      <w:r w:rsidRPr="00E73BA6">
        <w:rPr>
          <w:rFonts w:cstheme="minorHAnsi" w:hint="cs"/>
          <w:sz w:val="24"/>
          <w:szCs w:val="24"/>
          <w:rtl/>
          <w:lang w:val="en-US"/>
        </w:rPr>
        <w:t xml:space="preserve"> (סיליאדין) </w:t>
      </w:r>
      <w:r>
        <w:rPr>
          <w:rFonts w:cstheme="minorHAnsi" w:hint="cs"/>
          <w:sz w:val="24"/>
          <w:szCs w:val="24"/>
          <w:rtl/>
          <w:lang w:val="en-US"/>
        </w:rPr>
        <w:t>הייתה צעירה מטוגו שהגיעה לצרפת בגיל 15, לעבוד אצל אזרחית צרפתיה שמוצאה מטוגו. ההסכם היה שסיליאדין תעבוד בלא תשלום עד שתחזיר את עלות כרטיס הטיסה, והמעסיקה תסדיר את מעמדה ותמצא לה בית ספר. אלא שהמעסיקים לקחו את הדרכון שלה והפכו אותה לעובדת משק בית בלא תמורה. הם העבירו אותה למשפחה אחרת, שהעסיקה אותה כ-15 שעות ביום, 7 ימים בשבוע. היא טיפלה בילדים, ועסקה בבישול וניקיון ויתר עבודות הבית.</w:t>
      </w:r>
      <w:r w:rsidR="00210A39">
        <w:rPr>
          <w:rFonts w:cstheme="minorHAnsi" w:hint="cs"/>
          <w:sz w:val="24"/>
          <w:szCs w:val="24"/>
          <w:rtl/>
          <w:lang w:val="en-US"/>
        </w:rPr>
        <w:t xml:space="preserve"> היא ישנה על מזרון בחדר התינוק. בשלב מסוים ברחה, אך בלחץ משפחתה חזרה  למעסיקיה.</w:t>
      </w:r>
      <w:r>
        <w:rPr>
          <w:rFonts w:cstheme="minorHAnsi" w:hint="cs"/>
          <w:sz w:val="24"/>
          <w:szCs w:val="24"/>
          <w:rtl/>
          <w:lang w:val="en-US"/>
        </w:rPr>
        <w:t xml:space="preserve"> </w:t>
      </w:r>
      <w:r w:rsidR="00210A39">
        <w:rPr>
          <w:rFonts w:cstheme="minorHAnsi" w:hint="cs"/>
          <w:sz w:val="24"/>
          <w:szCs w:val="24"/>
          <w:rtl/>
          <w:lang w:val="en-US"/>
        </w:rPr>
        <w:t xml:space="preserve">המעסיקים ניצלו את פחדה ממעצר בשל שהותה הלא חוקית בצרפת. כך עברו עליה מספר שנים, עד להתערבות המשטרה. </w:t>
      </w:r>
      <w:r w:rsidR="00E73BA6">
        <w:rPr>
          <w:rFonts w:cstheme="minorHAnsi" w:hint="cs"/>
          <w:sz w:val="24"/>
          <w:szCs w:val="24"/>
          <w:rtl/>
          <w:lang w:val="en-US"/>
        </w:rPr>
        <w:t xml:space="preserve">לאחר מספר הליכים בצרפת, בסופו של דבר הורשעו המעסיקים בהעסקה ללא תשלום, אך זוכו מהאישום בהעסקה בתנאים הפוגעים בכבוד האדם. סיליאדין עתרה לבית הדין האירופי וטענה שהחוק הפלילי בצרפת לא סיפק לה הגנה מספקת משעבוד, ולכל הפחות מעבודת כפייה. </w:t>
      </w:r>
      <w:r w:rsidR="00210A39">
        <w:rPr>
          <w:rFonts w:cstheme="minorHAnsi" w:hint="cs"/>
          <w:sz w:val="24"/>
          <w:szCs w:val="24"/>
          <w:rtl/>
          <w:lang w:val="en-US"/>
        </w:rPr>
        <w:t xml:space="preserve"> </w:t>
      </w:r>
      <w:r w:rsidR="00E73BA6">
        <w:rPr>
          <w:rFonts w:cstheme="minorHAnsi" w:hint="cs"/>
          <w:sz w:val="24"/>
          <w:szCs w:val="24"/>
          <w:rtl/>
          <w:lang w:val="en-US"/>
        </w:rPr>
        <w:t xml:space="preserve">בית הדין האירופי קבע שסיליאדין אולצה לבצע עבודת כפייה, והוחזקה בתנאי שעבוד, אך לא בתנאי עבדות. בית הדין קבע שהחוק בצרפת לא העניק לסיליאדין הגנה הולמת. </w:t>
      </w:r>
    </w:p>
    <w:p w:rsidR="00E73BA6" w:rsidRDefault="00E73BA6" w:rsidP="00E73BA6">
      <w:pPr>
        <w:bidi/>
        <w:spacing w:after="0" w:line="240" w:lineRule="auto"/>
        <w:rPr>
          <w:rFonts w:cstheme="minorHAnsi"/>
          <w:sz w:val="24"/>
          <w:szCs w:val="24"/>
          <w:lang w:val="en-US"/>
        </w:rPr>
      </w:pPr>
    </w:p>
    <w:p w:rsidR="004B2F24" w:rsidRPr="000D6AE2" w:rsidRDefault="004B2F24" w:rsidP="004B2F24">
      <w:pPr>
        <w:bidi/>
        <w:spacing w:after="0" w:line="240" w:lineRule="auto"/>
        <w:rPr>
          <w:rFonts w:cstheme="minorHAnsi"/>
          <w:sz w:val="24"/>
          <w:szCs w:val="24"/>
          <w:rtl/>
          <w:lang w:val="en-US"/>
        </w:rPr>
      </w:pPr>
    </w:p>
    <w:p w:rsidR="004B2F24" w:rsidRDefault="000D6AE2" w:rsidP="00270775">
      <w:pPr>
        <w:bidi/>
        <w:rPr>
          <w:rFonts w:cstheme="minorHAnsi"/>
          <w:sz w:val="24"/>
          <w:szCs w:val="24"/>
          <w:rtl/>
        </w:rPr>
      </w:pPr>
      <w:r w:rsidRPr="00E73BA6">
        <w:rPr>
          <w:rFonts w:cstheme="minorHAnsi" w:hint="cs"/>
          <w:sz w:val="24"/>
          <w:szCs w:val="24"/>
          <w:u w:val="single"/>
          <w:rtl/>
        </w:rPr>
        <w:t>סוגיות מרכזיות</w:t>
      </w:r>
      <w:r>
        <w:rPr>
          <w:rFonts w:cstheme="minorHAnsi" w:hint="cs"/>
          <w:sz w:val="24"/>
          <w:szCs w:val="24"/>
          <w:rtl/>
        </w:rPr>
        <w:t xml:space="preserve">: </w:t>
      </w:r>
      <w:r w:rsidR="00E73BA6">
        <w:rPr>
          <w:rFonts w:cstheme="minorHAnsi" w:hint="cs"/>
          <w:sz w:val="24"/>
          <w:szCs w:val="24"/>
          <w:rtl/>
        </w:rPr>
        <w:t>הגד</w:t>
      </w:r>
      <w:r w:rsidR="00185CD2">
        <w:rPr>
          <w:rFonts w:cstheme="minorHAnsi" w:hint="cs"/>
          <w:sz w:val="24"/>
          <w:szCs w:val="24"/>
          <w:rtl/>
        </w:rPr>
        <w:t>ר</w:t>
      </w:r>
      <w:r w:rsidR="00E73BA6">
        <w:rPr>
          <w:rFonts w:cstheme="minorHAnsi" w:hint="cs"/>
          <w:sz w:val="24"/>
          <w:szCs w:val="24"/>
          <w:rtl/>
        </w:rPr>
        <w:t xml:space="preserve">ת עבדות, שעבוד ועבודת כפייה; משק בית; קטינים; מהגרים בלא אשרה; חופש תנועה; היכולת לצאת מהבית; </w:t>
      </w:r>
      <w:r>
        <w:rPr>
          <w:rFonts w:cstheme="minorHAnsi" w:hint="cs"/>
          <w:sz w:val="24"/>
          <w:szCs w:val="24"/>
          <w:rtl/>
        </w:rPr>
        <w:t xml:space="preserve">זהו ההליך הראשון בו דן בית הדין בעבירות סחר ועבדות. </w:t>
      </w:r>
    </w:p>
    <w:p w:rsidR="004B2F24" w:rsidRPr="004B2F24" w:rsidRDefault="00040980" w:rsidP="004B2F24">
      <w:pPr>
        <w:bidi/>
        <w:rPr>
          <w:rFonts w:cstheme="minorHAnsi"/>
          <w:sz w:val="24"/>
          <w:szCs w:val="24"/>
          <w:rtl/>
          <w:lang w:val="en-US"/>
        </w:rPr>
      </w:pPr>
      <w:hyperlink r:id="rId7" w:history="1">
        <w:r w:rsidR="004B2F24" w:rsidRPr="004B2F24">
          <w:rPr>
            <w:rStyle w:val="Hyperlink"/>
            <w:rFonts w:cstheme="minorHAnsi"/>
            <w:sz w:val="24"/>
            <w:szCs w:val="24"/>
          </w:rPr>
          <w:t>Hadijatou Mani Koraou v. Republic of Niger</w:t>
        </w:r>
      </w:hyperlink>
      <w:r w:rsidR="004B2F24">
        <w:rPr>
          <w:rFonts w:cstheme="minorHAnsi" w:hint="cs"/>
          <w:sz w:val="24"/>
          <w:szCs w:val="24"/>
          <w:rtl/>
        </w:rPr>
        <w:t xml:space="preserve"> </w:t>
      </w:r>
      <w:r w:rsidR="004B2F24">
        <w:rPr>
          <w:rFonts w:cstheme="minorHAnsi"/>
          <w:sz w:val="24"/>
          <w:szCs w:val="24"/>
          <w:rtl/>
        </w:rPr>
        <w:t>–</w:t>
      </w:r>
      <w:r w:rsidR="004B2F24">
        <w:rPr>
          <w:rFonts w:cstheme="minorHAnsi" w:hint="cs"/>
          <w:sz w:val="24"/>
          <w:szCs w:val="24"/>
          <w:rtl/>
        </w:rPr>
        <w:t xml:space="preserve"> </w:t>
      </w:r>
      <w:r w:rsidR="004B2F24">
        <w:rPr>
          <w:rFonts w:cstheme="minorHAnsi"/>
          <w:sz w:val="24"/>
          <w:szCs w:val="24"/>
        </w:rPr>
        <w:t>ECOWAS Community Court of Justice</w:t>
      </w:r>
      <w:r w:rsidR="004B2F24">
        <w:rPr>
          <w:rFonts w:cstheme="minorHAnsi" w:hint="cs"/>
          <w:sz w:val="24"/>
          <w:szCs w:val="24"/>
          <w:rtl/>
        </w:rPr>
        <w:t xml:space="preserve"> </w:t>
      </w:r>
      <w:r w:rsidR="004B2F24">
        <w:rPr>
          <w:rFonts w:cstheme="minorHAnsi" w:hint="cs"/>
          <w:sz w:val="24"/>
          <w:szCs w:val="24"/>
          <w:rtl/>
          <w:lang w:val="en-US"/>
        </w:rPr>
        <w:t>(בית-דין של 15 מדינות מערב אפריקה המאוגדות ב-</w:t>
      </w:r>
      <w:r w:rsidR="004B2F24">
        <w:rPr>
          <w:rFonts w:cstheme="minorHAnsi"/>
          <w:sz w:val="24"/>
          <w:szCs w:val="24"/>
          <w:lang w:val="en-US"/>
        </w:rPr>
        <w:t>ECOWAS</w:t>
      </w:r>
      <w:r w:rsidR="004B2F24">
        <w:rPr>
          <w:rFonts w:cstheme="minorHAnsi" w:hint="cs"/>
          <w:sz w:val="24"/>
          <w:szCs w:val="24"/>
          <w:rtl/>
          <w:lang w:val="en-US"/>
        </w:rPr>
        <w:t>), 2008</w:t>
      </w:r>
    </w:p>
    <w:p w:rsidR="000B61CC" w:rsidRDefault="004B2F24" w:rsidP="00C96D4F">
      <w:pPr>
        <w:bidi/>
        <w:jc w:val="both"/>
        <w:rPr>
          <w:rFonts w:cstheme="minorHAnsi"/>
          <w:sz w:val="24"/>
          <w:szCs w:val="24"/>
          <w:rtl/>
          <w:lang w:val="en-US"/>
        </w:rPr>
      </w:pPr>
      <w:r>
        <w:rPr>
          <w:rFonts w:cstheme="minorHAnsi" w:hint="cs"/>
          <w:sz w:val="24"/>
          <w:szCs w:val="24"/>
          <w:rtl/>
          <w:lang w:val="en-US"/>
        </w:rPr>
        <w:t xml:space="preserve">בהיותה בת 12 נמכרה מאני לראש שבט מקומי, כחלק ממנהג מקומי למכירת נערות כמשרתת ושפחת מין. במשך כתשע שנים הייתה מאני בשירותו של אדונה. בשנת 2005, לאחר שנתן לה מסמך ששחרר אותה מעבדות אך סירב </w:t>
      </w:r>
      <w:r w:rsidR="00C96D4F">
        <w:rPr>
          <w:rFonts w:cstheme="minorHAnsi" w:hint="cs"/>
          <w:sz w:val="24"/>
          <w:szCs w:val="24"/>
          <w:rtl/>
          <w:lang w:val="en-US"/>
        </w:rPr>
        <w:t>לאפשר</w:t>
      </w:r>
      <w:r>
        <w:rPr>
          <w:rFonts w:cstheme="minorHAnsi" w:hint="cs"/>
          <w:sz w:val="24"/>
          <w:szCs w:val="24"/>
          <w:rtl/>
          <w:lang w:val="en-US"/>
        </w:rPr>
        <w:t xml:space="preserve"> לה לעזוב אותו, היא פנתה לטריבונל המקומי ש</w:t>
      </w:r>
      <w:r w:rsidR="0092063A">
        <w:rPr>
          <w:rFonts w:cstheme="minorHAnsi" w:hint="cs"/>
          <w:sz w:val="24"/>
          <w:szCs w:val="24"/>
          <w:rtl/>
          <w:lang w:val="en-US"/>
        </w:rPr>
        <w:t>פסק שהיא לעולם לא נישאה כדין והיא יכולה לחיות את חייה כאשה חופשיה עם מי שתבחר. לאחר מספר הליכים בניז'ר, ולאחר שנכלאה בטענת ביגמיה משום שני</w:t>
      </w:r>
      <w:r w:rsidR="00C96D4F">
        <w:rPr>
          <w:rFonts w:cstheme="minorHAnsi" w:hint="cs"/>
          <w:sz w:val="24"/>
          <w:szCs w:val="24"/>
          <w:rtl/>
          <w:lang w:val="en-US"/>
        </w:rPr>
        <w:t>ש</w:t>
      </w:r>
      <w:r w:rsidR="0092063A">
        <w:rPr>
          <w:rFonts w:cstheme="minorHAnsi" w:hint="cs"/>
          <w:sz w:val="24"/>
          <w:szCs w:val="24"/>
          <w:rtl/>
          <w:lang w:val="en-US"/>
        </w:rPr>
        <w:t xml:space="preserve">אה לגבר אחר, פנתה מאני לבית המשפט של </w:t>
      </w:r>
      <w:r w:rsidR="0092063A">
        <w:rPr>
          <w:rFonts w:cstheme="minorHAnsi"/>
          <w:sz w:val="24"/>
          <w:szCs w:val="24"/>
          <w:lang w:val="en-US"/>
        </w:rPr>
        <w:t>ECOWAS</w:t>
      </w:r>
      <w:r w:rsidR="0092063A">
        <w:rPr>
          <w:rFonts w:cstheme="minorHAnsi" w:hint="cs"/>
          <w:sz w:val="24"/>
          <w:szCs w:val="24"/>
          <w:rtl/>
          <w:lang w:val="en-US"/>
        </w:rPr>
        <w:t xml:space="preserve">. </w:t>
      </w:r>
      <w:r w:rsidR="004E6ACD">
        <w:rPr>
          <w:rFonts w:cstheme="minorHAnsi" w:hint="cs"/>
          <w:sz w:val="24"/>
          <w:szCs w:val="24"/>
          <w:rtl/>
          <w:lang w:val="en-US"/>
        </w:rPr>
        <w:t xml:space="preserve">בית המשפט קבע שמאני הוחזקה בתנאי עבדות במשך כתשע שנים, ושבית המשפט בניז'ר הפר את חובתו להגן עליה. </w:t>
      </w:r>
    </w:p>
    <w:p w:rsidR="004B2F24" w:rsidRDefault="0092063A" w:rsidP="004B2F24">
      <w:pPr>
        <w:bidi/>
        <w:rPr>
          <w:rFonts w:cstheme="minorHAnsi"/>
          <w:sz w:val="24"/>
          <w:szCs w:val="24"/>
          <w:rtl/>
        </w:rPr>
      </w:pPr>
      <w:r w:rsidRPr="00E73BA6">
        <w:rPr>
          <w:rFonts w:cstheme="minorHAnsi" w:hint="cs"/>
          <w:sz w:val="24"/>
          <w:szCs w:val="24"/>
          <w:u w:val="single"/>
          <w:rtl/>
        </w:rPr>
        <w:t>סוגיות מרכזיות</w:t>
      </w:r>
      <w:r>
        <w:rPr>
          <w:rFonts w:cstheme="minorHAnsi" w:hint="cs"/>
          <w:sz w:val="24"/>
          <w:szCs w:val="24"/>
          <w:rtl/>
        </w:rPr>
        <w:t xml:space="preserve">: </w:t>
      </w:r>
      <w:r w:rsidR="00884C9C">
        <w:rPr>
          <w:rFonts w:cstheme="minorHAnsi" w:hint="cs"/>
          <w:sz w:val="24"/>
          <w:szCs w:val="24"/>
          <w:rtl/>
        </w:rPr>
        <w:t>עבדות; נישואים בכפייה; שעבוד מיני; עבדות מסורתית</w:t>
      </w:r>
    </w:p>
    <w:p w:rsidR="00C96D4F" w:rsidRPr="004E6ACD" w:rsidRDefault="00C96D4F" w:rsidP="00C96D4F">
      <w:pPr>
        <w:bidi/>
        <w:rPr>
          <w:rFonts w:cstheme="minorHAnsi"/>
          <w:sz w:val="24"/>
          <w:szCs w:val="24"/>
          <w:lang w:val="en-US"/>
        </w:rPr>
      </w:pPr>
    </w:p>
    <w:p w:rsidR="007501B0" w:rsidRPr="000D6AE2" w:rsidRDefault="00040980" w:rsidP="00880A4E">
      <w:pPr>
        <w:bidi/>
        <w:rPr>
          <w:rFonts w:cstheme="minorHAnsi"/>
          <w:sz w:val="24"/>
          <w:szCs w:val="24"/>
          <w:rtl/>
          <w:lang w:val="en-US"/>
        </w:rPr>
      </w:pPr>
      <w:hyperlink r:id="rId8" w:history="1">
        <w:r w:rsidR="007501B0" w:rsidRPr="000D6AE2">
          <w:rPr>
            <w:rStyle w:val="Hyperlink"/>
            <w:rFonts w:cstheme="minorHAnsi"/>
            <w:sz w:val="24"/>
            <w:szCs w:val="24"/>
            <w:lang w:val="en-US"/>
          </w:rPr>
          <w:t>Rantsev v Cyprus and Russia</w:t>
        </w:r>
      </w:hyperlink>
      <w:r w:rsidR="007501B0" w:rsidRPr="000D6AE2">
        <w:rPr>
          <w:rFonts w:cstheme="minorHAnsi"/>
          <w:sz w:val="24"/>
          <w:szCs w:val="24"/>
          <w:rtl/>
          <w:lang w:val="en-US"/>
        </w:rPr>
        <w:t xml:space="preserve"> - בית הדין האירופי לזכויות אדם, 2011</w:t>
      </w:r>
    </w:p>
    <w:p w:rsidR="009E6C07" w:rsidRPr="000D6AE2" w:rsidRDefault="009E6C07" w:rsidP="00270775">
      <w:pPr>
        <w:bidi/>
        <w:jc w:val="both"/>
        <w:rPr>
          <w:rFonts w:cstheme="minorHAnsi"/>
          <w:sz w:val="24"/>
          <w:szCs w:val="24"/>
          <w:lang w:val="en-US"/>
        </w:rPr>
      </w:pPr>
      <w:r w:rsidRPr="000D6AE2">
        <w:rPr>
          <w:rFonts w:cstheme="minorHAnsi"/>
          <w:sz w:val="24"/>
          <w:szCs w:val="24"/>
          <w:rtl/>
          <w:lang w:val="en-US"/>
        </w:rPr>
        <w:t>ההליך הוגש על-ידי אביה של אישה שהגיעה מרוסיה לקפריסין בויזה של "בדרנית" שמשמעותה למעשה עיסוק בזנות</w:t>
      </w:r>
      <w:r w:rsidR="00A2099D" w:rsidRPr="000D6AE2">
        <w:rPr>
          <w:rFonts w:cstheme="minorHAnsi"/>
          <w:sz w:val="24"/>
          <w:szCs w:val="24"/>
          <w:rtl/>
          <w:lang w:val="en-US"/>
        </w:rPr>
        <w:t>, ומתה בנסיבות לא ברורות</w:t>
      </w:r>
      <w:r w:rsidR="00A2099D" w:rsidRPr="000D6AE2">
        <w:rPr>
          <w:rFonts w:cstheme="minorHAnsi"/>
          <w:sz w:val="24"/>
          <w:szCs w:val="24"/>
          <w:lang w:val="en-US"/>
        </w:rPr>
        <w:t xml:space="preserve"> </w:t>
      </w:r>
      <w:r w:rsidR="00A2099D" w:rsidRPr="000D6AE2">
        <w:rPr>
          <w:rFonts w:cstheme="minorHAnsi"/>
          <w:sz w:val="24"/>
          <w:szCs w:val="24"/>
          <w:rtl/>
          <w:lang w:val="en-US"/>
        </w:rPr>
        <w:t>לאחר שבתחנת המשטרה החזירו אותה להשגחתו של מעסיקה</w:t>
      </w:r>
      <w:r w:rsidRPr="000D6AE2">
        <w:rPr>
          <w:rFonts w:cstheme="minorHAnsi"/>
          <w:sz w:val="24"/>
          <w:szCs w:val="24"/>
          <w:rtl/>
          <w:lang w:val="en-US"/>
        </w:rPr>
        <w:t>. בתיק זה קבע לראשונה בית הדין האירופי לזכויות אדם שסחר בבני אדם נכלל במסגרת סעיף 4 לאמנה האירופית בדבר זכויות אדם</w:t>
      </w:r>
      <w:r w:rsidR="00A2099D" w:rsidRPr="000D6AE2">
        <w:rPr>
          <w:rFonts w:cstheme="minorHAnsi"/>
          <w:sz w:val="24"/>
          <w:szCs w:val="24"/>
          <w:rtl/>
          <w:lang w:val="en-US"/>
        </w:rPr>
        <w:t xml:space="preserve">. כן נקבע כי למדינה חובה להגן על קרבנות ולאמץ מדיניות שתמנע סחר בבני אדם, כולל בחינה של אשרות היוצרות חשש לניצול וסחר. </w:t>
      </w:r>
    </w:p>
    <w:p w:rsidR="007501B0" w:rsidRDefault="009E6C07" w:rsidP="009E6C07">
      <w:pPr>
        <w:bidi/>
        <w:rPr>
          <w:rFonts w:cstheme="minorHAnsi"/>
          <w:sz w:val="24"/>
          <w:szCs w:val="24"/>
          <w:rtl/>
          <w:lang w:val="en-US"/>
        </w:rPr>
      </w:pPr>
      <w:r w:rsidRPr="000D6AE2">
        <w:rPr>
          <w:rFonts w:cstheme="minorHAnsi"/>
          <w:sz w:val="24"/>
          <w:szCs w:val="24"/>
          <w:u w:val="single"/>
          <w:rtl/>
          <w:lang w:val="en-US"/>
        </w:rPr>
        <w:t>סוגיות מרכזיות</w:t>
      </w:r>
      <w:r w:rsidRPr="000D6AE2">
        <w:rPr>
          <w:rFonts w:cstheme="minorHAnsi"/>
          <w:sz w:val="24"/>
          <w:szCs w:val="24"/>
          <w:rtl/>
          <w:lang w:val="en-US"/>
        </w:rPr>
        <w:t xml:space="preserve">: סחר לזנות; חובות מדינה כלפי קרבנות סחר; הזיקה בין סחר ובין מדיניות הגירה; החובה לאמץ חקיקה, תקנות ופיקוח למאבק בסחר. </w:t>
      </w:r>
    </w:p>
    <w:p w:rsidR="00C96D4F" w:rsidRDefault="00C96D4F" w:rsidP="00C96D4F">
      <w:pPr>
        <w:bidi/>
        <w:rPr>
          <w:rFonts w:cstheme="minorHAnsi"/>
          <w:sz w:val="24"/>
          <w:szCs w:val="24"/>
          <w:rtl/>
          <w:lang w:val="en-US"/>
        </w:rPr>
      </w:pPr>
    </w:p>
    <w:p w:rsidR="00370D52" w:rsidRDefault="00040980" w:rsidP="00370D52">
      <w:pPr>
        <w:bidi/>
        <w:rPr>
          <w:rFonts w:cstheme="minorHAnsi"/>
          <w:sz w:val="24"/>
          <w:szCs w:val="24"/>
          <w:rtl/>
          <w:lang w:val="en-US"/>
        </w:rPr>
      </w:pPr>
      <w:hyperlink r:id="rId9" w:anchor="{%22itemid%22:[%22001-114032%22]}" w:history="1">
        <w:r w:rsidR="001C116A" w:rsidRPr="001C116A">
          <w:rPr>
            <w:rStyle w:val="Hyperlink"/>
            <w:rFonts w:cstheme="minorHAnsi"/>
            <w:sz w:val="24"/>
            <w:szCs w:val="24"/>
            <w:lang w:val="en-US"/>
          </w:rPr>
          <w:t>C.N. and V. v. France</w:t>
        </w:r>
      </w:hyperlink>
      <w:r w:rsidR="001C116A">
        <w:rPr>
          <w:rFonts w:cstheme="minorHAnsi" w:hint="cs"/>
          <w:sz w:val="24"/>
          <w:szCs w:val="24"/>
          <w:rtl/>
          <w:lang w:val="en-US"/>
        </w:rPr>
        <w:t xml:space="preserve"> בית הדין האירופי לזכויות אדם, 2012/2013</w:t>
      </w:r>
    </w:p>
    <w:p w:rsidR="001C116A" w:rsidRDefault="001C116A" w:rsidP="00D56981">
      <w:pPr>
        <w:bidi/>
        <w:jc w:val="both"/>
        <w:rPr>
          <w:rFonts w:cstheme="minorHAnsi"/>
          <w:sz w:val="24"/>
          <w:szCs w:val="24"/>
          <w:lang w:val="en-US"/>
        </w:rPr>
      </w:pPr>
      <w:r>
        <w:rPr>
          <w:rFonts w:cstheme="minorHAnsi" w:hint="cs"/>
          <w:sz w:val="24"/>
          <w:szCs w:val="24"/>
          <w:rtl/>
          <w:lang w:val="en-US"/>
        </w:rPr>
        <w:t>העותרות הן אחיות אזרחיות צרפת שנולדו בבורונדי והגיעו לצרפת כקטינות באמצע שנות התשעים</w:t>
      </w:r>
      <w:r w:rsidR="00185CD2">
        <w:rPr>
          <w:rFonts w:cstheme="minorHAnsi" w:hint="cs"/>
          <w:sz w:val="24"/>
          <w:szCs w:val="24"/>
          <w:rtl/>
          <w:lang w:val="en-US"/>
        </w:rPr>
        <w:t>. הן הגיעו בעקבות מלחמת האזרחים בבורונדי, לאחר שהוריהן נהרגו,</w:t>
      </w:r>
      <w:r>
        <w:rPr>
          <w:rFonts w:cstheme="minorHAnsi" w:hint="cs"/>
          <w:sz w:val="24"/>
          <w:szCs w:val="24"/>
          <w:rtl/>
          <w:lang w:val="en-US"/>
        </w:rPr>
        <w:t xml:space="preserve"> לחיות עם דודיהן</w:t>
      </w:r>
      <w:r w:rsidR="003268A2">
        <w:rPr>
          <w:rFonts w:cstheme="minorHAnsi" w:hint="cs"/>
          <w:sz w:val="24"/>
          <w:szCs w:val="24"/>
          <w:rtl/>
          <w:lang w:val="en-US"/>
        </w:rPr>
        <w:t>, שלהם 7 ילדים</w:t>
      </w:r>
      <w:r>
        <w:rPr>
          <w:rFonts w:cstheme="minorHAnsi" w:hint="cs"/>
          <w:sz w:val="24"/>
          <w:szCs w:val="24"/>
          <w:rtl/>
          <w:lang w:val="en-US"/>
        </w:rPr>
        <w:t xml:space="preserve">. האחיות </w:t>
      </w:r>
      <w:r w:rsidR="003268A2">
        <w:rPr>
          <w:rFonts w:cstheme="minorHAnsi" w:hint="cs"/>
          <w:sz w:val="24"/>
          <w:szCs w:val="24"/>
          <w:rtl/>
          <w:lang w:val="en-US"/>
        </w:rPr>
        <w:t>התגוררו</w:t>
      </w:r>
      <w:r>
        <w:rPr>
          <w:rFonts w:cstheme="minorHAnsi" w:hint="cs"/>
          <w:sz w:val="24"/>
          <w:szCs w:val="24"/>
          <w:rtl/>
          <w:lang w:val="en-US"/>
        </w:rPr>
        <w:t xml:space="preserve"> במרתף בתנאים לא היגייניים, ללא מקלחת ועם שירותים מאולתרים. </w:t>
      </w:r>
      <w:r w:rsidR="003268A2">
        <w:rPr>
          <w:rFonts w:cstheme="minorHAnsi" w:hint="cs"/>
          <w:sz w:val="24"/>
          <w:szCs w:val="24"/>
          <w:rtl/>
          <w:lang w:val="en-US"/>
        </w:rPr>
        <w:t xml:space="preserve">הן נדרשו לבצע את עבודות משק הבית, והאחות הגדולה גם נדרשה לטפל בילדם הנכה של בני הזוג. הן לא קיבלו תשלום או ימי חופש. האחות הצעירה הלכה לבית הספר, והגדולה נשארה בבית ועבדה שעות ארוכות כל יום, שבעה ימים בשבוע. </w:t>
      </w:r>
      <w:r w:rsidR="00D56981">
        <w:rPr>
          <w:rFonts w:cstheme="minorHAnsi" w:hint="cs"/>
          <w:sz w:val="24"/>
          <w:szCs w:val="24"/>
          <w:rtl/>
          <w:lang w:val="en-US"/>
        </w:rPr>
        <w:t>המשפחה הזניחה את הטיפול הרפואי באחות הצעירה, סירבה לקנות לה כרטיס אוטובוס לצורך נסיעות לבית הספר ולשלם עבור ארוחות בבית הספר. האחות הגדולה אושפזה מספר פעמים, תחת שם אחר, לאחר שהוכתה על-ידי אחד מילדי המשפחה. הדודה גם איימה על האחיות באלימות, ואיימה עליהן לא פעם שתגרש אותן לבורונדי</w:t>
      </w:r>
      <w:r w:rsidR="00185CD2">
        <w:rPr>
          <w:rFonts w:cstheme="minorHAnsi" w:hint="cs"/>
          <w:sz w:val="24"/>
          <w:szCs w:val="24"/>
          <w:rtl/>
          <w:lang w:val="en-US"/>
        </w:rPr>
        <w:t xml:space="preserve"> </w:t>
      </w:r>
      <w:r w:rsidR="00185CD2">
        <w:rPr>
          <w:rFonts w:cstheme="minorHAnsi"/>
          <w:sz w:val="24"/>
          <w:szCs w:val="24"/>
          <w:rtl/>
          <w:lang w:val="en-US"/>
        </w:rPr>
        <w:t>–</w:t>
      </w:r>
      <w:r w:rsidR="00C96D4F">
        <w:rPr>
          <w:rFonts w:cstheme="minorHAnsi" w:hint="cs"/>
          <w:sz w:val="24"/>
          <w:szCs w:val="24"/>
          <w:rtl/>
          <w:lang w:val="en-US"/>
        </w:rPr>
        <w:t xml:space="preserve"> איום שנתפס על-ידי האח</w:t>
      </w:r>
      <w:r w:rsidR="00185CD2">
        <w:rPr>
          <w:rFonts w:cstheme="minorHAnsi" w:hint="cs"/>
          <w:sz w:val="24"/>
          <w:szCs w:val="24"/>
          <w:rtl/>
          <w:lang w:val="en-US"/>
        </w:rPr>
        <w:t xml:space="preserve">ות הגדולה כסכנת מוות ונטישת אחיותיה הקטנות. </w:t>
      </w:r>
    </w:p>
    <w:p w:rsidR="003268A2" w:rsidRDefault="003268A2" w:rsidP="00D56981">
      <w:pPr>
        <w:bidi/>
        <w:jc w:val="both"/>
        <w:rPr>
          <w:rFonts w:cstheme="minorHAnsi"/>
          <w:sz w:val="24"/>
          <w:szCs w:val="24"/>
          <w:rtl/>
          <w:lang w:val="en-US"/>
        </w:rPr>
      </w:pPr>
      <w:r>
        <w:rPr>
          <w:rFonts w:cstheme="minorHAnsi" w:hint="cs"/>
          <w:sz w:val="24"/>
          <w:szCs w:val="24"/>
          <w:rtl/>
          <w:lang w:val="en-US"/>
        </w:rPr>
        <w:t>בית הדין קבע שהאחות הגדולה אולצה לבצע עבודת כפייה</w:t>
      </w:r>
      <w:r w:rsidR="00D56981">
        <w:rPr>
          <w:rFonts w:cstheme="minorHAnsi" w:hint="cs"/>
          <w:sz w:val="24"/>
          <w:szCs w:val="24"/>
          <w:rtl/>
          <w:lang w:val="en-US"/>
        </w:rPr>
        <w:t xml:space="preserve">. בשל התלות של מעמדה בצרפת בהישארות עם משפחתה; היעדר זמן לתחביבים או אינטרקציה עם אנשים מחוץ לבית, ותחושתה שמצבה הקשה, </w:t>
      </w:r>
      <w:r w:rsidR="00D56981">
        <w:rPr>
          <w:rFonts w:cstheme="minorHAnsi" w:hint="cs"/>
          <w:sz w:val="24"/>
          <w:szCs w:val="24"/>
          <w:rtl/>
          <w:lang w:val="en-US"/>
        </w:rPr>
        <w:lastRenderedPageBreak/>
        <w:t xml:space="preserve">שהתחיל בהיותה קטינה, הוא תמידי ולא ישתנה, בית הדין גם קבע שהיא הוחזקה בתנאי שעבוד. בית הדין דחה טענות אלו ביחס לאחות הצעירה. </w:t>
      </w:r>
    </w:p>
    <w:p w:rsidR="00370D52" w:rsidRDefault="00185CD2" w:rsidP="00C663D6">
      <w:pPr>
        <w:bidi/>
        <w:rPr>
          <w:rFonts w:cstheme="minorHAnsi"/>
          <w:sz w:val="24"/>
          <w:szCs w:val="24"/>
          <w:rtl/>
        </w:rPr>
      </w:pPr>
      <w:r w:rsidRPr="00E73BA6">
        <w:rPr>
          <w:rFonts w:cstheme="minorHAnsi" w:hint="cs"/>
          <w:sz w:val="24"/>
          <w:szCs w:val="24"/>
          <w:u w:val="single"/>
          <w:rtl/>
        </w:rPr>
        <w:t>סוגיות מרכזיות</w:t>
      </w:r>
      <w:r>
        <w:rPr>
          <w:rFonts w:cstheme="minorHAnsi" w:hint="cs"/>
          <w:sz w:val="24"/>
          <w:szCs w:val="24"/>
          <w:rtl/>
        </w:rPr>
        <w:t xml:space="preserve">: הגדרת שעבוד ועבודת כפייה; משק בית; קטינים; חופש תנועה; היכולת לצאת מהבית; אמונה שהשעבוד הוא מצב קבוע. </w:t>
      </w:r>
    </w:p>
    <w:p w:rsidR="00C96D4F" w:rsidRPr="00C663D6" w:rsidRDefault="00C96D4F" w:rsidP="00C96D4F">
      <w:pPr>
        <w:bidi/>
        <w:rPr>
          <w:rFonts w:cstheme="minorHAnsi"/>
          <w:sz w:val="24"/>
          <w:szCs w:val="24"/>
        </w:rPr>
      </w:pPr>
    </w:p>
    <w:p w:rsidR="00C67097" w:rsidRPr="00942F5C" w:rsidRDefault="00C67097" w:rsidP="00880A4E">
      <w:pPr>
        <w:bidi/>
        <w:rPr>
          <w:rFonts w:cstheme="minorHAnsi"/>
          <w:color w:val="222222"/>
          <w:sz w:val="24"/>
          <w:szCs w:val="24"/>
          <w:shd w:val="clear" w:color="auto" w:fill="FFFFFF"/>
          <w:rtl/>
          <w:lang w:val="en-US"/>
        </w:rPr>
      </w:pPr>
      <w:r w:rsidRPr="000D6AE2">
        <w:rPr>
          <w:rFonts w:cstheme="minorHAnsi"/>
          <w:color w:val="222222"/>
          <w:sz w:val="24"/>
          <w:szCs w:val="24"/>
          <w:shd w:val="clear" w:color="auto" w:fill="FFFFFF"/>
        </w:rPr>
        <w:t> </w:t>
      </w:r>
      <w:hyperlink r:id="rId10" w:history="1">
        <w:r w:rsidRPr="00942F5C">
          <w:rPr>
            <w:rStyle w:val="Hyperlink"/>
            <w:rFonts w:cstheme="minorHAnsi"/>
            <w:sz w:val="24"/>
            <w:szCs w:val="24"/>
            <w:shd w:val="clear" w:color="auto" w:fill="FFFFFF"/>
          </w:rPr>
          <w:t>Chowdury</w:t>
        </w:r>
        <w:r w:rsidRPr="00942F5C">
          <w:rPr>
            <w:rStyle w:val="Hyperlink"/>
            <w:rFonts w:cstheme="minorHAnsi"/>
            <w:sz w:val="24"/>
            <w:szCs w:val="24"/>
            <w:shd w:val="clear" w:color="auto" w:fill="FFFFFF"/>
            <w:lang w:val="en-US"/>
          </w:rPr>
          <w:t xml:space="preserve"> and others</w:t>
        </w:r>
        <w:r w:rsidRPr="00942F5C">
          <w:rPr>
            <w:rStyle w:val="Hyperlink"/>
            <w:rFonts w:cstheme="minorHAnsi"/>
            <w:sz w:val="24"/>
            <w:szCs w:val="24"/>
            <w:shd w:val="clear" w:color="auto" w:fill="FFFFFF"/>
          </w:rPr>
          <w:t xml:space="preserve"> v Greece</w:t>
        </w:r>
      </w:hyperlink>
      <w:r w:rsidRPr="00942F5C">
        <w:rPr>
          <w:rFonts w:cstheme="minorHAnsi"/>
          <w:color w:val="222222"/>
          <w:sz w:val="24"/>
          <w:szCs w:val="24"/>
          <w:shd w:val="clear" w:color="auto" w:fill="FFFFFF"/>
        </w:rPr>
        <w:t> </w:t>
      </w:r>
      <w:r w:rsidRPr="00942F5C">
        <w:rPr>
          <w:rFonts w:cstheme="minorHAnsi"/>
          <w:color w:val="222222"/>
          <w:sz w:val="24"/>
          <w:szCs w:val="24"/>
          <w:shd w:val="clear" w:color="auto" w:fill="FFFFFF"/>
          <w:rtl/>
        </w:rPr>
        <w:t>– בית הדין האירופי לזכויות אדם</w:t>
      </w:r>
      <w:r w:rsidRPr="00942F5C">
        <w:rPr>
          <w:rFonts w:cstheme="minorHAnsi"/>
          <w:color w:val="222222"/>
          <w:sz w:val="24"/>
          <w:szCs w:val="24"/>
          <w:shd w:val="clear" w:color="auto" w:fill="FFFFFF"/>
          <w:rtl/>
          <w:lang w:val="en-US"/>
        </w:rPr>
        <w:t>, 2017</w:t>
      </w:r>
    </w:p>
    <w:p w:rsidR="00B07A47" w:rsidRDefault="00C67097" w:rsidP="00B07A47">
      <w:pPr>
        <w:bidi/>
        <w:jc w:val="both"/>
        <w:rPr>
          <w:rFonts w:cstheme="minorHAnsi"/>
          <w:color w:val="222222"/>
          <w:sz w:val="24"/>
          <w:szCs w:val="24"/>
          <w:shd w:val="clear" w:color="auto" w:fill="FFFFFF"/>
          <w:rtl/>
          <w:lang w:val="en-US"/>
        </w:rPr>
      </w:pPr>
      <w:r w:rsidRPr="00942F5C">
        <w:rPr>
          <w:rFonts w:cstheme="minorHAnsi"/>
          <w:color w:val="222222"/>
          <w:sz w:val="24"/>
          <w:szCs w:val="24"/>
          <w:shd w:val="clear" w:color="auto" w:fill="FFFFFF"/>
          <w:rtl/>
          <w:lang w:val="en-US"/>
        </w:rPr>
        <w:t xml:space="preserve">ההליך הוגש על ידי </w:t>
      </w:r>
      <w:r w:rsidR="00B07A47">
        <w:rPr>
          <w:rFonts w:cstheme="minorHAnsi" w:hint="cs"/>
          <w:color w:val="222222"/>
          <w:sz w:val="24"/>
          <w:szCs w:val="24"/>
          <w:shd w:val="clear" w:color="auto" w:fill="FFFFFF"/>
          <w:rtl/>
          <w:lang w:val="en-US"/>
        </w:rPr>
        <w:t>42</w:t>
      </w:r>
      <w:r w:rsidRPr="00942F5C">
        <w:rPr>
          <w:rFonts w:cstheme="minorHAnsi"/>
          <w:color w:val="222222"/>
          <w:sz w:val="24"/>
          <w:szCs w:val="24"/>
          <w:shd w:val="clear" w:color="auto" w:fill="FFFFFF"/>
          <w:rtl/>
          <w:lang w:val="en-US"/>
        </w:rPr>
        <w:t xml:space="preserve"> עובדים מבנגלדש שהועסקו בחקלאות ביוון</w:t>
      </w:r>
      <w:r w:rsidR="00942F5C" w:rsidRPr="00942F5C">
        <w:rPr>
          <w:rFonts w:cstheme="minorHAnsi" w:hint="cs"/>
          <w:color w:val="222222"/>
          <w:sz w:val="24"/>
          <w:szCs w:val="24"/>
          <w:shd w:val="clear" w:color="auto" w:fill="FFFFFF"/>
          <w:rtl/>
          <w:lang w:val="en-US"/>
        </w:rPr>
        <w:t xml:space="preserve">, </w:t>
      </w:r>
      <w:r w:rsidR="00B07A47">
        <w:rPr>
          <w:rFonts w:cstheme="minorHAnsi" w:hint="cs"/>
          <w:color w:val="222222"/>
          <w:sz w:val="24"/>
          <w:szCs w:val="24"/>
          <w:shd w:val="clear" w:color="auto" w:fill="FFFFFF"/>
          <w:rtl/>
          <w:lang w:val="en-US"/>
        </w:rPr>
        <w:t>בלי אשרות</w:t>
      </w:r>
      <w:r w:rsidR="00942F5C" w:rsidRPr="00942F5C">
        <w:rPr>
          <w:rFonts w:cstheme="minorHAnsi" w:hint="cs"/>
          <w:color w:val="222222"/>
          <w:sz w:val="24"/>
          <w:szCs w:val="24"/>
          <w:shd w:val="clear" w:color="auto" w:fill="FFFFFF"/>
          <w:rtl/>
          <w:lang w:val="en-US"/>
        </w:rPr>
        <w:t xml:space="preserve"> עבודה</w:t>
      </w:r>
      <w:r w:rsidRPr="00942F5C">
        <w:rPr>
          <w:rFonts w:cstheme="minorHAnsi"/>
          <w:color w:val="222222"/>
          <w:sz w:val="24"/>
          <w:szCs w:val="24"/>
          <w:shd w:val="clear" w:color="auto" w:fill="FFFFFF"/>
          <w:rtl/>
          <w:lang w:val="en-US"/>
        </w:rPr>
        <w:t xml:space="preserve">. </w:t>
      </w:r>
      <w:r w:rsidR="00942F5C" w:rsidRPr="00942F5C">
        <w:rPr>
          <w:rFonts w:cstheme="minorHAnsi" w:hint="cs"/>
          <w:color w:val="222222"/>
          <w:sz w:val="24"/>
          <w:szCs w:val="24"/>
          <w:shd w:val="clear" w:color="auto" w:fill="FFFFFF"/>
          <w:rtl/>
          <w:lang w:val="en-US"/>
        </w:rPr>
        <w:t xml:space="preserve">הם עבדו 12 שעות ביום בחממות תותים, תחת השגחתם של שומרים חמושים. חיו באוהלים מאולתרים וקופסאות קרטון, בלי שירותים ומים זורמים. </w:t>
      </w:r>
      <w:r w:rsidR="00B07A47">
        <w:rPr>
          <w:rFonts w:cstheme="minorHAnsi" w:hint="cs"/>
          <w:color w:val="222222"/>
          <w:sz w:val="24"/>
          <w:szCs w:val="24"/>
          <w:shd w:val="clear" w:color="auto" w:fill="FFFFFF"/>
          <w:rtl/>
          <w:lang w:val="en-US"/>
        </w:rPr>
        <w:t>לאחר ששכרם לא שולם, פרצו העובדים בשביתה. לאחר שלושה חודשים, שכרו המעסיקים עובדים חדשים. העובדים הותיקים, שחששו ששכרם לא ישולם, התקרבו למעסיקים. אחד מהשומרים פתח באש, ופצע קשה 30 עובדים. שני המעסיקים והשומר שירה נשפטו בעבירות הירי וסחר</w:t>
      </w:r>
      <w:r w:rsidR="00C96D4F">
        <w:rPr>
          <w:rFonts w:cstheme="minorHAnsi" w:hint="cs"/>
          <w:color w:val="222222"/>
          <w:sz w:val="24"/>
          <w:szCs w:val="24"/>
          <w:shd w:val="clear" w:color="auto" w:fill="FFFFFF"/>
          <w:rtl/>
          <w:lang w:val="en-US"/>
        </w:rPr>
        <w:t xml:space="preserve"> בבני אדם. הם זוכו מעבירת הסחר </w:t>
      </w:r>
      <w:r w:rsidR="00B07A47">
        <w:rPr>
          <w:rFonts w:cstheme="minorHAnsi" w:hint="cs"/>
          <w:color w:val="222222"/>
          <w:sz w:val="24"/>
          <w:szCs w:val="24"/>
          <w:shd w:val="clear" w:color="auto" w:fill="FFFFFF"/>
          <w:rtl/>
          <w:lang w:val="en-US"/>
        </w:rPr>
        <w:t>והורשעו בגין הירי</w:t>
      </w:r>
      <w:r w:rsidR="00C96D4F">
        <w:rPr>
          <w:rFonts w:cstheme="minorHAnsi" w:hint="cs"/>
          <w:color w:val="222222"/>
          <w:sz w:val="24"/>
          <w:szCs w:val="24"/>
          <w:shd w:val="clear" w:color="auto" w:fill="FFFFFF"/>
          <w:rtl/>
          <w:lang w:val="en-US"/>
        </w:rPr>
        <w:t>,</w:t>
      </w:r>
      <w:r w:rsidR="00B07A47">
        <w:rPr>
          <w:rFonts w:cstheme="minorHAnsi" w:hint="cs"/>
          <w:color w:val="222222"/>
          <w:sz w:val="24"/>
          <w:szCs w:val="24"/>
          <w:shd w:val="clear" w:color="auto" w:fill="FFFFFF"/>
          <w:rtl/>
          <w:lang w:val="en-US"/>
        </w:rPr>
        <w:t xml:space="preserve"> אך עונשם הסתכם בפיצויים נמוכים לקרבנות שהוכרו בלבד. התובע סירב לבקשת העותרים לערער על הזיכוי מעבירת הסחר. </w:t>
      </w:r>
    </w:p>
    <w:p w:rsidR="00C67097" w:rsidRPr="00942F5C" w:rsidRDefault="00B07A47" w:rsidP="00E66F65">
      <w:pPr>
        <w:bidi/>
        <w:jc w:val="both"/>
        <w:rPr>
          <w:rFonts w:cstheme="minorHAnsi"/>
          <w:color w:val="222222"/>
          <w:sz w:val="24"/>
          <w:szCs w:val="24"/>
          <w:shd w:val="clear" w:color="auto" w:fill="FFFFFF"/>
          <w:rtl/>
          <w:lang w:val="en-US"/>
        </w:rPr>
      </w:pPr>
      <w:r>
        <w:rPr>
          <w:rFonts w:cstheme="minorHAnsi" w:hint="cs"/>
          <w:color w:val="222222"/>
          <w:sz w:val="24"/>
          <w:szCs w:val="24"/>
          <w:shd w:val="clear" w:color="auto" w:fill="FFFFFF"/>
          <w:rtl/>
          <w:lang w:val="en-US"/>
        </w:rPr>
        <w:t xml:space="preserve">בית הדין קבע שבית המשפט היווני הגדיר סחר בצורה מצמצמת מדי, המוגבלת לשעבוד ולא כוללת עבודת כפייה, ושההבדל המרכזי בין שעבוד ועבודת כפייה הוא תחושתם של הקרבנות שמצבם תמידי ולא צפוי להשתנות. תנאי העבודה של העובדים במקרה זה הובילו </w:t>
      </w:r>
      <w:r w:rsidR="00E66F65">
        <w:rPr>
          <w:rFonts w:cstheme="minorHAnsi" w:hint="cs"/>
          <w:color w:val="222222"/>
          <w:sz w:val="24"/>
          <w:szCs w:val="24"/>
          <w:shd w:val="clear" w:color="auto" w:fill="FFFFFF"/>
          <w:rtl/>
          <w:lang w:val="en-US"/>
        </w:rPr>
        <w:t>את בית הדין להגדיר את המקרה</w:t>
      </w:r>
      <w:r>
        <w:rPr>
          <w:rFonts w:cstheme="minorHAnsi" w:hint="cs"/>
          <w:color w:val="222222"/>
          <w:sz w:val="24"/>
          <w:szCs w:val="24"/>
          <w:shd w:val="clear" w:color="auto" w:fill="FFFFFF"/>
          <w:rtl/>
          <w:lang w:val="en-US"/>
        </w:rPr>
        <w:t xml:space="preserve"> </w:t>
      </w:r>
      <w:r w:rsidR="00E66F65">
        <w:rPr>
          <w:rFonts w:cstheme="minorHAnsi" w:hint="cs"/>
          <w:color w:val="222222"/>
          <w:sz w:val="24"/>
          <w:szCs w:val="24"/>
          <w:shd w:val="clear" w:color="auto" w:fill="FFFFFF"/>
          <w:rtl/>
          <w:lang w:val="en-US"/>
        </w:rPr>
        <w:t>כ</w:t>
      </w:r>
      <w:r>
        <w:rPr>
          <w:rFonts w:cstheme="minorHAnsi" w:hint="cs"/>
          <w:color w:val="222222"/>
          <w:sz w:val="24"/>
          <w:szCs w:val="24"/>
          <w:shd w:val="clear" w:color="auto" w:fill="FFFFFF"/>
          <w:rtl/>
          <w:lang w:val="en-US"/>
        </w:rPr>
        <w:t xml:space="preserve">עבודת כפייה </w:t>
      </w:r>
      <w:r w:rsidR="00E66F65">
        <w:rPr>
          <w:rFonts w:cstheme="minorHAnsi" w:hint="cs"/>
          <w:color w:val="222222"/>
          <w:sz w:val="24"/>
          <w:szCs w:val="24"/>
          <w:shd w:val="clear" w:color="auto" w:fill="FFFFFF"/>
          <w:rtl/>
          <w:lang w:val="en-US"/>
        </w:rPr>
        <w:t xml:space="preserve">וסחר בבני אדם. </w:t>
      </w:r>
    </w:p>
    <w:p w:rsidR="003E7BB1" w:rsidRDefault="00C67097" w:rsidP="00C96D4F">
      <w:pPr>
        <w:bidi/>
        <w:rPr>
          <w:rFonts w:eastAsia="Times New Roman" w:cstheme="minorHAnsi"/>
          <w:color w:val="222222"/>
          <w:sz w:val="24"/>
          <w:szCs w:val="24"/>
          <w:rtl/>
          <w:lang w:eastAsia="en-GB"/>
        </w:rPr>
      </w:pPr>
      <w:r w:rsidRPr="00942F5C">
        <w:rPr>
          <w:rFonts w:cstheme="minorHAnsi"/>
          <w:color w:val="222222"/>
          <w:sz w:val="24"/>
          <w:szCs w:val="24"/>
          <w:u w:val="single"/>
          <w:shd w:val="clear" w:color="auto" w:fill="FFFFFF"/>
          <w:rtl/>
          <w:lang w:val="en-US"/>
        </w:rPr>
        <w:t>סוגיות מרכזיות</w:t>
      </w:r>
      <w:r w:rsidRPr="00942F5C">
        <w:rPr>
          <w:rFonts w:cstheme="minorHAnsi"/>
          <w:color w:val="222222"/>
          <w:sz w:val="24"/>
          <w:szCs w:val="24"/>
          <w:shd w:val="clear" w:color="auto" w:fill="FFFFFF"/>
          <w:rtl/>
          <w:lang w:val="en-US"/>
        </w:rPr>
        <w:t xml:space="preserve">: עבודת כפייה; חקלאות; </w:t>
      </w:r>
      <w:r w:rsidRPr="00942F5C">
        <w:rPr>
          <w:rFonts w:eastAsia="Times New Roman" w:cstheme="minorHAnsi"/>
          <w:color w:val="222222"/>
          <w:sz w:val="24"/>
          <w:szCs w:val="24"/>
          <w:rtl/>
          <w:lang w:eastAsia="en-GB"/>
        </w:rPr>
        <w:t>חידוד האבחנה בין שעבוד לעבודת כפייה</w:t>
      </w:r>
      <w:r w:rsidRPr="00942F5C">
        <w:rPr>
          <w:rFonts w:eastAsia="Times New Roman" w:cstheme="minorHAnsi"/>
          <w:color w:val="222222"/>
          <w:sz w:val="24"/>
          <w:szCs w:val="24"/>
          <w:lang w:eastAsia="en-GB"/>
        </w:rPr>
        <w:t>;</w:t>
      </w:r>
      <w:r w:rsidRPr="00942F5C">
        <w:rPr>
          <w:rFonts w:cstheme="minorHAnsi"/>
          <w:color w:val="222222"/>
          <w:sz w:val="24"/>
          <w:szCs w:val="24"/>
          <w:shd w:val="clear" w:color="auto" w:fill="FFFFFF"/>
          <w:rtl/>
          <w:lang w:val="en-US"/>
        </w:rPr>
        <w:t xml:space="preserve"> </w:t>
      </w:r>
      <w:r w:rsidRPr="00942F5C">
        <w:rPr>
          <w:rFonts w:eastAsia="Times New Roman" w:cstheme="minorHAnsi"/>
          <w:color w:val="222222"/>
          <w:sz w:val="24"/>
          <w:szCs w:val="24"/>
          <w:rtl/>
          <w:lang w:eastAsia="en-GB"/>
        </w:rPr>
        <w:t>עבודת כפייה (וסחר) גם במקרים בהם הייתה לקרבן מידה של חופש תנועה</w:t>
      </w:r>
      <w:r w:rsidRPr="00942F5C">
        <w:rPr>
          <w:rFonts w:eastAsia="Times New Roman" w:cstheme="minorHAnsi"/>
          <w:color w:val="222222"/>
          <w:sz w:val="24"/>
          <w:szCs w:val="24"/>
          <w:lang w:eastAsia="en-GB"/>
        </w:rPr>
        <w:t>;</w:t>
      </w:r>
      <w:r w:rsidRPr="00942F5C">
        <w:rPr>
          <w:rFonts w:cstheme="minorHAnsi"/>
          <w:color w:val="222222"/>
          <w:sz w:val="24"/>
          <w:szCs w:val="24"/>
          <w:shd w:val="clear" w:color="auto" w:fill="FFFFFF"/>
          <w:rtl/>
          <w:lang w:val="en-US"/>
        </w:rPr>
        <w:t xml:space="preserve"> </w:t>
      </w:r>
      <w:r w:rsidRPr="00942F5C">
        <w:rPr>
          <w:rFonts w:eastAsia="Times New Roman" w:cstheme="minorHAnsi"/>
          <w:color w:val="222222"/>
          <w:sz w:val="24"/>
          <w:szCs w:val="24"/>
          <w:rtl/>
          <w:lang w:eastAsia="en-GB"/>
        </w:rPr>
        <w:t>תנאי העסקה פוגעניים כאלמנט שיכול לאפיין עבודת כפייה גם במקרים שיחסי העבודה התחילו בהסכמה</w:t>
      </w:r>
      <w:r w:rsidRPr="00942F5C">
        <w:rPr>
          <w:rFonts w:eastAsia="Times New Roman" w:cstheme="minorHAnsi"/>
          <w:color w:val="222222"/>
          <w:sz w:val="24"/>
          <w:szCs w:val="24"/>
          <w:lang w:eastAsia="en-GB"/>
        </w:rPr>
        <w:t>.</w:t>
      </w:r>
    </w:p>
    <w:p w:rsidR="00C96D4F" w:rsidRPr="00C96D4F" w:rsidRDefault="00C96D4F" w:rsidP="00C96D4F">
      <w:pPr>
        <w:bidi/>
        <w:rPr>
          <w:rFonts w:cstheme="minorHAnsi"/>
          <w:color w:val="222222"/>
          <w:sz w:val="24"/>
          <w:szCs w:val="24"/>
          <w:shd w:val="clear" w:color="auto" w:fill="FFFFFF"/>
        </w:rPr>
      </w:pPr>
    </w:p>
    <w:p w:rsidR="00FB12A4" w:rsidRPr="00AE0AFF" w:rsidRDefault="00040980" w:rsidP="00880A4E">
      <w:pPr>
        <w:bidi/>
        <w:rPr>
          <w:rFonts w:cstheme="minorHAnsi"/>
          <w:sz w:val="24"/>
          <w:szCs w:val="24"/>
          <w:rtl/>
          <w:lang w:val="en-US"/>
        </w:rPr>
      </w:pPr>
      <w:hyperlink r:id="rId11" w:anchor="{%22itemid%22:[%22001-170388%22]}" w:history="1">
        <w:r w:rsidR="00994E3C" w:rsidRPr="00AE0AFF">
          <w:rPr>
            <w:rStyle w:val="Hyperlink"/>
            <w:rFonts w:cstheme="minorHAnsi"/>
            <w:sz w:val="24"/>
            <w:szCs w:val="24"/>
          </w:rPr>
          <w:t>J and Others v. Austria</w:t>
        </w:r>
      </w:hyperlink>
      <w:r w:rsidR="00994E3C" w:rsidRPr="00AE0AFF">
        <w:rPr>
          <w:rFonts w:cstheme="minorHAnsi" w:hint="cs"/>
          <w:sz w:val="24"/>
          <w:szCs w:val="24"/>
          <w:rtl/>
        </w:rPr>
        <w:t xml:space="preserve"> </w:t>
      </w:r>
      <w:r w:rsidR="00994E3C" w:rsidRPr="00AE0AFF">
        <w:rPr>
          <w:rFonts w:cstheme="minorHAnsi"/>
          <w:sz w:val="24"/>
          <w:szCs w:val="24"/>
          <w:rtl/>
        </w:rPr>
        <w:t>–</w:t>
      </w:r>
      <w:r w:rsidR="00AE0AFF">
        <w:rPr>
          <w:rFonts w:cstheme="minorHAnsi" w:hint="cs"/>
          <w:sz w:val="24"/>
          <w:szCs w:val="24"/>
          <w:rtl/>
        </w:rPr>
        <w:t xml:space="preserve"> בית הדין האירופי ל</w:t>
      </w:r>
      <w:r w:rsidR="00880A4E">
        <w:rPr>
          <w:rFonts w:cstheme="minorHAnsi" w:hint="cs"/>
          <w:sz w:val="24"/>
          <w:szCs w:val="24"/>
          <w:rtl/>
        </w:rPr>
        <w:t>זכויות אדם</w:t>
      </w:r>
      <w:r w:rsidR="00AE0AFF">
        <w:rPr>
          <w:rFonts w:cstheme="minorHAnsi" w:hint="cs"/>
          <w:sz w:val="24"/>
          <w:szCs w:val="24"/>
          <w:rtl/>
          <w:lang w:val="en-US"/>
        </w:rPr>
        <w:t>, 2017</w:t>
      </w:r>
    </w:p>
    <w:p w:rsidR="00FB12A4" w:rsidRDefault="00FB12A4" w:rsidP="00C96D4F">
      <w:pPr>
        <w:bidi/>
        <w:jc w:val="both"/>
        <w:rPr>
          <w:rFonts w:cstheme="minorHAnsi"/>
          <w:sz w:val="24"/>
          <w:szCs w:val="24"/>
          <w:rtl/>
        </w:rPr>
      </w:pPr>
      <w:r w:rsidRPr="00FB12A4">
        <w:rPr>
          <w:rFonts w:cstheme="minorHAnsi" w:hint="cs"/>
          <w:sz w:val="24"/>
          <w:szCs w:val="24"/>
          <w:rtl/>
        </w:rPr>
        <w:t xml:space="preserve">העותרות, שלוש נשים פיליפיניות שעבדו כאו-פר או עובדות משק בית בדובאי, טענו שמעסיקיהן לקחו את דרכוניהן וניצלו אותן, לא שילמו להן את השכר שהוסכם והכריחו אותן </w:t>
      </w:r>
      <w:r w:rsidR="00C96D4F">
        <w:rPr>
          <w:rFonts w:cstheme="minorHAnsi" w:hint="cs"/>
          <w:sz w:val="24"/>
          <w:szCs w:val="24"/>
          <w:rtl/>
        </w:rPr>
        <w:t xml:space="preserve">באיומים </w:t>
      </w:r>
      <w:r w:rsidRPr="00FB12A4">
        <w:rPr>
          <w:rFonts w:cstheme="minorHAnsi" w:hint="cs"/>
          <w:sz w:val="24"/>
          <w:szCs w:val="24"/>
          <w:rtl/>
        </w:rPr>
        <w:t>לעבו</w:t>
      </w:r>
      <w:r>
        <w:rPr>
          <w:rFonts w:cstheme="minorHAnsi" w:hint="cs"/>
          <w:sz w:val="24"/>
          <w:szCs w:val="24"/>
          <w:rtl/>
        </w:rPr>
        <w:t>ד</w:t>
      </w:r>
      <w:r w:rsidR="00C96D4F">
        <w:rPr>
          <w:rFonts w:cstheme="minorHAnsi" w:hint="cs"/>
          <w:sz w:val="24"/>
          <w:szCs w:val="24"/>
          <w:rtl/>
        </w:rPr>
        <w:t xml:space="preserve"> שעות ארוכות. </w:t>
      </w:r>
    </w:p>
    <w:p w:rsidR="00262231" w:rsidRDefault="00104333" w:rsidP="00262231">
      <w:pPr>
        <w:bidi/>
        <w:jc w:val="both"/>
        <w:rPr>
          <w:rFonts w:cstheme="minorHAnsi"/>
          <w:sz w:val="24"/>
          <w:szCs w:val="24"/>
          <w:rtl/>
        </w:rPr>
      </w:pPr>
      <w:r>
        <w:rPr>
          <w:rFonts w:cstheme="minorHAnsi" w:hint="cs"/>
          <w:sz w:val="24"/>
          <w:szCs w:val="24"/>
          <w:rtl/>
        </w:rPr>
        <w:t xml:space="preserve">העותרת הראשונה נדרשה בתחילת לעבוד 7 ימים בשבוע, ונאסר עליה לעזוב את הבית בלא ליווי, להחזיק במכשיר טלפון או לדבר עם עובדים פיליפינים אחרים בשפתם.  רוב הזמן היא אכלה שאריות מהאוכל של בני המשפחה. לאחר שחלתה כתוצאה משינה על הרצפה, מנעו ממנה טיפול רפואי. </w:t>
      </w:r>
      <w:r w:rsidR="00AC286C">
        <w:rPr>
          <w:rFonts w:cstheme="minorHAnsi" w:hint="cs"/>
          <w:sz w:val="24"/>
          <w:szCs w:val="24"/>
          <w:rtl/>
        </w:rPr>
        <w:t>במהלך נסיעות עם המשפחה למדינ</w:t>
      </w:r>
      <w:r w:rsidR="00C96D4F">
        <w:rPr>
          <w:rFonts w:cstheme="minorHAnsi" w:hint="cs"/>
          <w:sz w:val="24"/>
          <w:szCs w:val="24"/>
          <w:rtl/>
        </w:rPr>
        <w:t>ות שונות נשארה לאורך תקופות ממוש</w:t>
      </w:r>
      <w:r w:rsidR="00AC286C">
        <w:rPr>
          <w:rFonts w:cstheme="minorHAnsi" w:hint="cs"/>
          <w:sz w:val="24"/>
          <w:szCs w:val="24"/>
          <w:rtl/>
        </w:rPr>
        <w:t xml:space="preserve">כות נעולה בחדר במלון או בהשגחה צמודה של המעסיקים. </w:t>
      </w:r>
      <w:r w:rsidR="00262231">
        <w:rPr>
          <w:rFonts w:cstheme="minorHAnsi" w:hint="cs"/>
          <w:sz w:val="24"/>
          <w:szCs w:val="24"/>
          <w:rtl/>
        </w:rPr>
        <w:t xml:space="preserve">מהעותרת השנייה, שהתחילה לעבוד אצל אותה משפחה במועד מאוחר יותר, נלקח דרכונה, והמעסיקים איימו עליה שתיכלא אם תנסה לברוח או לפנות לרשויות. היא אולצה לעבוד שעות ארוכות מאוד. שתי העותרות הוכו בהזדמנויות שונות. </w:t>
      </w:r>
    </w:p>
    <w:p w:rsidR="00262231" w:rsidRDefault="00262231" w:rsidP="00C96D4F">
      <w:pPr>
        <w:bidi/>
        <w:jc w:val="both"/>
        <w:rPr>
          <w:rFonts w:cstheme="minorHAnsi"/>
          <w:sz w:val="24"/>
          <w:szCs w:val="24"/>
          <w:rtl/>
        </w:rPr>
      </w:pPr>
      <w:r>
        <w:rPr>
          <w:rFonts w:cstheme="minorHAnsi" w:hint="cs"/>
          <w:sz w:val="24"/>
          <w:szCs w:val="24"/>
          <w:rtl/>
        </w:rPr>
        <w:t xml:space="preserve">מהעותרת השלישית נלקחו דרכונה ומכשיר הטלפון שלה, כנראה ע"י סוכנות כוח האדם. היא הועסקה על-ידי קרוביהם של המעסיקים של שתי העותרות הראשונות. גם היא אולצה לעבוד שעות ארוכות, ונאסר עליה ללכת לשירותים בלא אישור מהמעסיק. </w:t>
      </w:r>
      <w:r w:rsidR="00C96D4F">
        <w:rPr>
          <w:rFonts w:cstheme="minorHAnsi" w:hint="cs"/>
          <w:sz w:val="24"/>
          <w:szCs w:val="24"/>
          <w:rtl/>
        </w:rPr>
        <w:t>נתנו</w:t>
      </w:r>
      <w:r>
        <w:rPr>
          <w:rFonts w:cstheme="minorHAnsi" w:hint="cs"/>
          <w:sz w:val="24"/>
          <w:szCs w:val="24"/>
          <w:rtl/>
        </w:rPr>
        <w:t xml:space="preserve"> לה להתקשר לבני משפחתה רק אחת לחודש, בנוכחות המעסיק. במשך שלושה חודשים לא קיבלה תשלום כלל, ובהמשך פחות ממה שהובטח לה. כשביקשה </w:t>
      </w:r>
      <w:r>
        <w:rPr>
          <w:rFonts w:cstheme="minorHAnsi" w:hint="cs"/>
          <w:sz w:val="24"/>
          <w:szCs w:val="24"/>
          <w:rtl/>
        </w:rPr>
        <w:lastRenderedPageBreak/>
        <w:t>לחזור לפיליפינים, דרש המעסיק שת</w:t>
      </w:r>
      <w:r w:rsidR="00C96D4F">
        <w:rPr>
          <w:rFonts w:cstheme="minorHAnsi" w:hint="cs"/>
          <w:sz w:val="24"/>
          <w:szCs w:val="24"/>
          <w:rtl/>
        </w:rPr>
        <w:t>י</w:t>
      </w:r>
      <w:r>
        <w:rPr>
          <w:rFonts w:cstheme="minorHAnsi" w:hint="cs"/>
          <w:sz w:val="24"/>
          <w:szCs w:val="24"/>
          <w:rtl/>
        </w:rPr>
        <w:t xml:space="preserve">שא בעלויות כרטיס הטיסה והתשלום לסוכנות, שידע שלא תוכל לעמוד בהן, ובכל מקרה, דרש שתעבוד לפחות תשעה חודשים בטרם יחזיר לה את דרכונה. </w:t>
      </w:r>
    </w:p>
    <w:p w:rsidR="00262231" w:rsidRDefault="00273A8B" w:rsidP="00AE0AFF">
      <w:pPr>
        <w:bidi/>
        <w:jc w:val="both"/>
        <w:rPr>
          <w:rFonts w:cstheme="minorHAnsi"/>
          <w:sz w:val="24"/>
          <w:szCs w:val="24"/>
          <w:rtl/>
        </w:rPr>
      </w:pPr>
      <w:r>
        <w:rPr>
          <w:rFonts w:cstheme="minorHAnsi" w:hint="cs"/>
          <w:sz w:val="24"/>
          <w:szCs w:val="24"/>
          <w:rtl/>
        </w:rPr>
        <w:t>במהלך נסיעה עם המעסיקים לאוסטריה ברחו העותרות, ולאחר מספר חודשים פנו למשטרה. לאחר חקירה, הסתיימו ההליכים בהחלטה שהעבירות התרחשו מחוץ לאוסטריה ע"י אזרחים זרים</w:t>
      </w:r>
      <w:r w:rsidR="00AE0AFF">
        <w:rPr>
          <w:rFonts w:cstheme="minorHAnsi" w:hint="cs"/>
          <w:sz w:val="24"/>
          <w:szCs w:val="24"/>
          <w:rtl/>
        </w:rPr>
        <w:t xml:space="preserve">. העותרות זכו להגנה וסיוע, אך לא ננקטו הליכים פליליים נגד המעסיקים. </w:t>
      </w:r>
      <w:r w:rsidR="00262231">
        <w:rPr>
          <w:rFonts w:cstheme="minorHAnsi" w:hint="cs"/>
          <w:sz w:val="24"/>
          <w:szCs w:val="24"/>
          <w:rtl/>
        </w:rPr>
        <w:t>בית הדין קבע שהרשויות באוסטריה פעלו כנדר</w:t>
      </w:r>
      <w:r w:rsidR="00AE0AFF">
        <w:rPr>
          <w:rFonts w:cstheme="minorHAnsi" w:hint="cs"/>
          <w:sz w:val="24"/>
          <w:szCs w:val="24"/>
          <w:rtl/>
        </w:rPr>
        <w:t xml:space="preserve">ש לזהות קרבנות סחר ולהגן עליהם, </w:t>
      </w:r>
      <w:r w:rsidR="00C96D4F">
        <w:rPr>
          <w:rFonts w:cstheme="minorHAnsi" w:hint="cs"/>
          <w:sz w:val="24"/>
          <w:szCs w:val="24"/>
          <w:rtl/>
        </w:rPr>
        <w:t>ו</w:t>
      </w:r>
      <w:r w:rsidR="00AE0AFF">
        <w:rPr>
          <w:rFonts w:cstheme="minorHAnsi" w:hint="cs"/>
          <w:sz w:val="24"/>
          <w:szCs w:val="24"/>
          <w:rtl/>
        </w:rPr>
        <w:t xml:space="preserve">כי אין חובה להחיל סמכות שיפוט אוניברסלית על עבירות סחר מחוץ לגבולות המדינה. כן קבע כי בנסיבות המקרה, לאחר שהמעסיקים עזבו את המדינה זמן רב לפני הגשת התלונה ובהיעדר בסיס משפטי להמשך טיפול, פעלו הרשויות כשורה כשלא המשיכו את ההליכים ביחס לניצול בזמן שהות העותרות באוסטריה. </w:t>
      </w:r>
    </w:p>
    <w:p w:rsidR="00370D52" w:rsidRDefault="00262231" w:rsidP="00AE0AFF">
      <w:pPr>
        <w:bidi/>
        <w:jc w:val="both"/>
        <w:rPr>
          <w:rFonts w:cstheme="minorHAnsi"/>
          <w:sz w:val="24"/>
          <w:szCs w:val="24"/>
          <w:rtl/>
        </w:rPr>
      </w:pPr>
      <w:r w:rsidRPr="00C96D4F">
        <w:rPr>
          <w:rFonts w:cstheme="minorHAnsi" w:hint="cs"/>
          <w:sz w:val="24"/>
          <w:szCs w:val="24"/>
          <w:u w:val="single"/>
          <w:rtl/>
        </w:rPr>
        <w:t>סוגיות מרכזיות</w:t>
      </w:r>
      <w:r>
        <w:rPr>
          <w:rFonts w:cstheme="minorHAnsi" w:hint="cs"/>
          <w:sz w:val="24"/>
          <w:szCs w:val="24"/>
          <w:rtl/>
        </w:rPr>
        <w:t xml:space="preserve">: </w:t>
      </w:r>
      <w:r w:rsidR="00AE0AFF">
        <w:rPr>
          <w:rFonts w:cstheme="minorHAnsi" w:hint="cs"/>
          <w:sz w:val="24"/>
          <w:szCs w:val="24"/>
          <w:rtl/>
        </w:rPr>
        <w:t xml:space="preserve">קרבנות סחר מחוץ לגבולות המדינה; </w:t>
      </w:r>
      <w:r>
        <w:rPr>
          <w:rFonts w:cstheme="minorHAnsi" w:hint="cs"/>
          <w:sz w:val="24"/>
          <w:szCs w:val="24"/>
          <w:rtl/>
        </w:rPr>
        <w:t xml:space="preserve">סחר כתופעה חוצת </w:t>
      </w:r>
      <w:r w:rsidR="00AE0AFF">
        <w:rPr>
          <w:rFonts w:cstheme="minorHAnsi" w:hint="cs"/>
          <w:sz w:val="24"/>
          <w:szCs w:val="24"/>
          <w:rtl/>
        </w:rPr>
        <w:t xml:space="preserve">גבולות; </w:t>
      </w:r>
      <w:r w:rsidR="00C96D4F">
        <w:rPr>
          <w:rFonts w:cstheme="minorHAnsi" w:hint="cs"/>
          <w:sz w:val="24"/>
          <w:szCs w:val="24"/>
          <w:rtl/>
        </w:rPr>
        <w:t xml:space="preserve">סיוע לקרבנות סחר; </w:t>
      </w:r>
      <w:r w:rsidR="00AE0AFF">
        <w:rPr>
          <w:rFonts w:cstheme="minorHAnsi" w:hint="cs"/>
          <w:sz w:val="24"/>
          <w:szCs w:val="24"/>
          <w:rtl/>
        </w:rPr>
        <w:t xml:space="preserve">החובה לחקור חשדות לסחר; משק בית. </w:t>
      </w:r>
    </w:p>
    <w:p w:rsidR="00C96D4F" w:rsidRPr="000D6AE2" w:rsidRDefault="00C96D4F" w:rsidP="00C96D4F">
      <w:pPr>
        <w:bidi/>
        <w:jc w:val="both"/>
        <w:rPr>
          <w:rFonts w:cstheme="minorHAnsi"/>
          <w:sz w:val="24"/>
          <w:szCs w:val="24"/>
          <w:rtl/>
        </w:rPr>
      </w:pPr>
    </w:p>
    <w:p w:rsidR="00A2099D" w:rsidRDefault="00040980" w:rsidP="00A2099D">
      <w:pPr>
        <w:bidi/>
        <w:rPr>
          <w:rFonts w:cstheme="minorHAnsi"/>
          <w:sz w:val="24"/>
          <w:szCs w:val="24"/>
          <w:rtl/>
          <w:lang w:val="en-US"/>
        </w:rPr>
      </w:pPr>
      <w:hyperlink r:id="rId12" w:anchor="{%22itemid%22:[%22001-184665%22]}" w:history="1">
        <w:r w:rsidR="00A2099D" w:rsidRPr="000D6AE2">
          <w:rPr>
            <w:rStyle w:val="Hyperlink"/>
            <w:rFonts w:cstheme="minorHAnsi"/>
            <w:sz w:val="24"/>
            <w:szCs w:val="24"/>
            <w:lang w:val="en-US"/>
          </w:rPr>
          <w:t xml:space="preserve"> S.M</w:t>
        </w:r>
        <w:r w:rsidR="00763940">
          <w:rPr>
            <w:rStyle w:val="Hyperlink"/>
            <w:rFonts w:cstheme="minorHAnsi"/>
            <w:sz w:val="24"/>
            <w:szCs w:val="24"/>
            <w:lang w:val="en-US"/>
          </w:rPr>
          <w:t>.</w:t>
        </w:r>
        <w:r w:rsidR="00A2099D" w:rsidRPr="000D6AE2">
          <w:rPr>
            <w:rStyle w:val="Hyperlink"/>
            <w:rFonts w:cstheme="minorHAnsi"/>
            <w:sz w:val="24"/>
            <w:szCs w:val="24"/>
            <w:lang w:val="en-US"/>
          </w:rPr>
          <w:t xml:space="preserve"> v</w:t>
        </w:r>
        <w:r w:rsidR="00763940">
          <w:rPr>
            <w:rStyle w:val="Hyperlink"/>
            <w:rFonts w:cstheme="minorHAnsi"/>
            <w:sz w:val="24"/>
            <w:szCs w:val="24"/>
            <w:lang w:val="en-US"/>
          </w:rPr>
          <w:t>.</w:t>
        </w:r>
        <w:r w:rsidR="00A2099D" w:rsidRPr="000D6AE2">
          <w:rPr>
            <w:rStyle w:val="Hyperlink"/>
            <w:rFonts w:cstheme="minorHAnsi"/>
            <w:sz w:val="24"/>
            <w:szCs w:val="24"/>
            <w:lang w:val="en-US"/>
          </w:rPr>
          <w:t xml:space="preserve"> Croatia</w:t>
        </w:r>
      </w:hyperlink>
      <w:r w:rsidR="00A2099D" w:rsidRPr="000D6AE2">
        <w:rPr>
          <w:rFonts w:cstheme="minorHAnsi"/>
          <w:sz w:val="24"/>
          <w:szCs w:val="24"/>
          <w:rtl/>
          <w:lang w:val="en-US"/>
        </w:rPr>
        <w:t xml:space="preserve"> – בית הדין האירופי לזכויות אדם (</w:t>
      </w:r>
      <w:r w:rsidR="00A2099D" w:rsidRPr="000D6AE2">
        <w:rPr>
          <w:rFonts w:cstheme="minorHAnsi"/>
          <w:sz w:val="24"/>
          <w:szCs w:val="24"/>
          <w:lang w:val="en-US"/>
        </w:rPr>
        <w:t>ECHR</w:t>
      </w:r>
      <w:r w:rsidR="00A2099D" w:rsidRPr="000D6AE2">
        <w:rPr>
          <w:rFonts w:cstheme="minorHAnsi"/>
          <w:sz w:val="24"/>
          <w:szCs w:val="24"/>
          <w:rtl/>
          <w:lang w:val="en-US"/>
        </w:rPr>
        <w:t>), 2018</w:t>
      </w:r>
    </w:p>
    <w:p w:rsidR="00270775" w:rsidRDefault="00A25FA1" w:rsidP="009337FC">
      <w:pPr>
        <w:bidi/>
        <w:jc w:val="both"/>
        <w:rPr>
          <w:rFonts w:cstheme="minorHAnsi"/>
          <w:sz w:val="24"/>
          <w:szCs w:val="24"/>
          <w:rtl/>
          <w:lang w:val="en-US"/>
        </w:rPr>
      </w:pPr>
      <w:r>
        <w:rPr>
          <w:rFonts w:cstheme="minorHAnsi" w:hint="cs"/>
          <w:sz w:val="24"/>
          <w:szCs w:val="24"/>
          <w:rtl/>
          <w:lang w:val="en-US"/>
        </w:rPr>
        <w:t xml:space="preserve">העותרת, אזרחית קרואטיה, </w:t>
      </w:r>
      <w:r w:rsidR="009337FC">
        <w:rPr>
          <w:rFonts w:cstheme="minorHAnsi" w:hint="cs"/>
          <w:sz w:val="24"/>
          <w:szCs w:val="24"/>
          <w:rtl/>
          <w:lang w:val="en-US"/>
        </w:rPr>
        <w:t xml:space="preserve">טענה שגבר שאיתו חיה, קצין משטרה לשעבר, כפה עליה לעסוק בזנות. הוא הסיע אותה למפגשים עם לקוחות, נתן לה טלפון נייד כדי שלקוחות יוכלו ליצור איתה קשר, וכפה עליה לעסוק בזנות בדירה בה חיו יחד. הוא היכה אותה כשסירבה לקיים עמו יחסי מין או כשלא היה מרוצה מהשירותים שהעניקה ללקוחות. </w:t>
      </w:r>
      <w:r w:rsidR="0048751B">
        <w:rPr>
          <w:rFonts w:cstheme="minorHAnsi" w:hint="cs"/>
          <w:sz w:val="24"/>
          <w:szCs w:val="24"/>
          <w:rtl/>
          <w:lang w:val="en-US"/>
        </w:rPr>
        <w:t xml:space="preserve">הוא סיפר לה שיש לו קשרים במשטרה, ויידע אם תתלונן. היא פחדה ממנו, ומאיומיו שיספר הכל להוריה, יפרסם תמונות עירום שלה ויכלא את אמה. </w:t>
      </w:r>
    </w:p>
    <w:p w:rsidR="0048751B" w:rsidRDefault="0048751B" w:rsidP="0048751B">
      <w:pPr>
        <w:bidi/>
        <w:jc w:val="both"/>
        <w:rPr>
          <w:rFonts w:cstheme="minorHAnsi"/>
          <w:sz w:val="24"/>
          <w:szCs w:val="24"/>
          <w:rtl/>
          <w:lang w:val="en-US"/>
        </w:rPr>
      </w:pPr>
      <w:r>
        <w:rPr>
          <w:rFonts w:cstheme="minorHAnsi" w:hint="cs"/>
          <w:sz w:val="24"/>
          <w:szCs w:val="24"/>
          <w:rtl/>
          <w:lang w:val="en-US"/>
        </w:rPr>
        <w:t xml:space="preserve">העותרת הוכרה בקרואטיה כקרבן סחר, אבל הגבר זוכה מהאישומים נגדו, אף שנמצא שעסק בסרסרות, קבע בית המשפט שלא הוכח שקבע על העותרת לעסוק בזנות. בית המשפט ייחס משקל מועט לעדותה של העותרת, שהייתה מהוססת, לא בטוחה ולא קוהרנטית. </w:t>
      </w:r>
    </w:p>
    <w:p w:rsidR="0048751B" w:rsidRPr="000D6AE2" w:rsidRDefault="0048751B" w:rsidP="00C96D4F">
      <w:pPr>
        <w:bidi/>
        <w:jc w:val="both"/>
        <w:rPr>
          <w:rFonts w:cstheme="minorHAnsi"/>
          <w:sz w:val="24"/>
          <w:szCs w:val="24"/>
          <w:rtl/>
          <w:lang w:val="en-US"/>
        </w:rPr>
      </w:pPr>
      <w:r>
        <w:rPr>
          <w:rFonts w:cstheme="minorHAnsi" w:hint="cs"/>
          <w:sz w:val="24"/>
          <w:szCs w:val="24"/>
          <w:rtl/>
          <w:lang w:val="en-US"/>
        </w:rPr>
        <w:t xml:space="preserve">בית הדין קבע שקרואטיה לא עשתה די לחקור את העבירה, ושבית המשפט בקרואטיה לא העריך את ההשפעה האפשרית של הטראומה שנגרמה לעותרת על יכולתה למסור עדות עקבית וברורה. כן כשל בית המשפט במשקל שייחס להסכמתה של העותרת, אף </w:t>
      </w:r>
      <w:r w:rsidR="00C96D4F">
        <w:rPr>
          <w:rFonts w:cstheme="minorHAnsi" w:hint="cs"/>
          <w:sz w:val="24"/>
          <w:szCs w:val="24"/>
          <w:rtl/>
          <w:lang w:val="en-US"/>
        </w:rPr>
        <w:t>שהוראות</w:t>
      </w:r>
      <w:r>
        <w:rPr>
          <w:rFonts w:cstheme="minorHAnsi" w:hint="cs"/>
          <w:sz w:val="24"/>
          <w:szCs w:val="24"/>
          <w:rtl/>
          <w:lang w:val="en-US"/>
        </w:rPr>
        <w:t xml:space="preserve"> הדין קובעות שהסכמה אינה רלוונטית בתיקי סחר. </w:t>
      </w:r>
    </w:p>
    <w:p w:rsidR="00A2099D" w:rsidRDefault="00C67097" w:rsidP="00A2099D">
      <w:pPr>
        <w:bidi/>
        <w:rPr>
          <w:rFonts w:cstheme="minorHAnsi"/>
          <w:sz w:val="24"/>
          <w:szCs w:val="24"/>
          <w:lang w:val="en-US"/>
        </w:rPr>
      </w:pPr>
      <w:r w:rsidRPr="000D6AE2">
        <w:rPr>
          <w:rFonts w:cstheme="minorHAnsi"/>
          <w:sz w:val="24"/>
          <w:szCs w:val="24"/>
          <w:u w:val="single"/>
          <w:rtl/>
          <w:lang w:val="en-US"/>
        </w:rPr>
        <w:t>סוגיות מרכזיות</w:t>
      </w:r>
      <w:r w:rsidRPr="000D6AE2">
        <w:rPr>
          <w:rFonts w:cstheme="minorHAnsi"/>
          <w:sz w:val="24"/>
          <w:szCs w:val="24"/>
          <w:rtl/>
          <w:lang w:val="en-US"/>
        </w:rPr>
        <w:t>: סחר בתוך גבולות המדינה; הסכמה אינה רלוונטית בתיקי סחר בבני אדם; יש לשקול את הטראומה של קרבן סחר בהערכת אמינות עדותה;</w:t>
      </w:r>
      <w:r w:rsidRPr="000D6AE2">
        <w:rPr>
          <w:rFonts w:cstheme="minorHAnsi"/>
          <w:sz w:val="24"/>
          <w:szCs w:val="24"/>
          <w:lang w:val="en-US"/>
        </w:rPr>
        <w:t xml:space="preserve"> </w:t>
      </w:r>
      <w:r w:rsidRPr="000D6AE2">
        <w:rPr>
          <w:rFonts w:cstheme="minorHAnsi"/>
          <w:sz w:val="24"/>
          <w:szCs w:val="24"/>
          <w:rtl/>
          <w:lang w:val="en-US"/>
        </w:rPr>
        <w:t xml:space="preserve"> סחר לזנות. </w:t>
      </w:r>
    </w:p>
    <w:p w:rsidR="007501B0" w:rsidRPr="000D6AE2" w:rsidRDefault="007501B0" w:rsidP="007501B0">
      <w:pPr>
        <w:bidi/>
        <w:rPr>
          <w:rFonts w:cstheme="minorHAnsi"/>
          <w:sz w:val="24"/>
          <w:szCs w:val="24"/>
          <w:rtl/>
        </w:rPr>
      </w:pPr>
    </w:p>
    <w:p w:rsidR="009E6C07" w:rsidRDefault="00DC643B" w:rsidP="00C96D4F">
      <w:pPr>
        <w:bidi/>
        <w:jc w:val="both"/>
        <w:rPr>
          <w:rFonts w:cstheme="minorHAnsi"/>
          <w:sz w:val="24"/>
          <w:szCs w:val="24"/>
          <w:rtl/>
        </w:rPr>
      </w:pPr>
      <w:r>
        <w:rPr>
          <w:rFonts w:cstheme="minorHAnsi" w:hint="cs"/>
          <w:sz w:val="24"/>
          <w:szCs w:val="24"/>
          <w:rtl/>
        </w:rPr>
        <w:t xml:space="preserve">לרשימת מקרים </w:t>
      </w:r>
      <w:r w:rsidR="00C96D4F">
        <w:rPr>
          <w:rFonts w:cstheme="minorHAnsi" w:hint="cs"/>
          <w:sz w:val="24"/>
          <w:szCs w:val="24"/>
          <w:rtl/>
        </w:rPr>
        <w:t xml:space="preserve">נוספים </w:t>
      </w:r>
      <w:r>
        <w:rPr>
          <w:rFonts w:cstheme="minorHAnsi" w:hint="cs"/>
          <w:sz w:val="24"/>
          <w:szCs w:val="24"/>
          <w:rtl/>
        </w:rPr>
        <w:t>מהעולם (בעברית), ראו גם "שלילת חירות חמורה: מקרים להמחשה מרחבי העולם" רחל גרשוני (בתוך הקובץ "</w:t>
      </w:r>
      <w:hyperlink r:id="rId13" w:history="1">
        <w:r w:rsidRPr="00DC643B">
          <w:rPr>
            <w:rStyle w:val="Hyperlink"/>
            <w:rFonts w:cstheme="minorHAnsi" w:hint="cs"/>
            <w:sz w:val="24"/>
            <w:szCs w:val="24"/>
            <w:rtl/>
          </w:rPr>
          <w:t>מדריך לזיהוי קורבנות עבדות ועבודת כפייה</w:t>
        </w:r>
      </w:hyperlink>
      <w:r>
        <w:rPr>
          <w:rFonts w:cstheme="minorHAnsi" w:hint="cs"/>
          <w:sz w:val="24"/>
          <w:szCs w:val="24"/>
          <w:rtl/>
        </w:rPr>
        <w:t xml:space="preserve">" משרד המשפטים, המרכז להגירה בינלאומית ולקליטה וג'וינט ישראל, עמ' 17) </w:t>
      </w:r>
    </w:p>
    <w:p w:rsidR="00DC643B" w:rsidRPr="000D6AE2" w:rsidRDefault="00DC643B" w:rsidP="00DC643B">
      <w:pPr>
        <w:bidi/>
        <w:rPr>
          <w:rFonts w:cstheme="minorHAnsi"/>
          <w:sz w:val="24"/>
          <w:szCs w:val="24"/>
        </w:rPr>
      </w:pPr>
    </w:p>
    <w:sectPr w:rsidR="00DC643B" w:rsidRPr="000D6A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C36D2"/>
    <w:multiLevelType w:val="multilevel"/>
    <w:tmpl w:val="A706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FA"/>
    <w:rsid w:val="00040980"/>
    <w:rsid w:val="0005232A"/>
    <w:rsid w:val="000B61CC"/>
    <w:rsid w:val="000D6AE2"/>
    <w:rsid w:val="000E456F"/>
    <w:rsid w:val="00104333"/>
    <w:rsid w:val="001264D5"/>
    <w:rsid w:val="00185CD2"/>
    <w:rsid w:val="001C116A"/>
    <w:rsid w:val="00210A39"/>
    <w:rsid w:val="00262231"/>
    <w:rsid w:val="00270775"/>
    <w:rsid w:val="00273A8B"/>
    <w:rsid w:val="002E5504"/>
    <w:rsid w:val="003268A2"/>
    <w:rsid w:val="00370D52"/>
    <w:rsid w:val="003B0F3C"/>
    <w:rsid w:val="003E6D14"/>
    <w:rsid w:val="003E7BB1"/>
    <w:rsid w:val="00477795"/>
    <w:rsid w:val="0048751B"/>
    <w:rsid w:val="004B2F24"/>
    <w:rsid w:val="004E6ACD"/>
    <w:rsid w:val="00560DFA"/>
    <w:rsid w:val="006D1ACD"/>
    <w:rsid w:val="00744C3E"/>
    <w:rsid w:val="007501B0"/>
    <w:rsid w:val="00753F09"/>
    <w:rsid w:val="00760081"/>
    <w:rsid w:val="00763940"/>
    <w:rsid w:val="008725D2"/>
    <w:rsid w:val="00880A4E"/>
    <w:rsid w:val="00884C9C"/>
    <w:rsid w:val="00903C47"/>
    <w:rsid w:val="0092063A"/>
    <w:rsid w:val="009337FC"/>
    <w:rsid w:val="00942F5C"/>
    <w:rsid w:val="00994E3C"/>
    <w:rsid w:val="009E6C07"/>
    <w:rsid w:val="00A2099D"/>
    <w:rsid w:val="00A25FA1"/>
    <w:rsid w:val="00A70173"/>
    <w:rsid w:val="00AA6744"/>
    <w:rsid w:val="00AC286C"/>
    <w:rsid w:val="00AE0AFF"/>
    <w:rsid w:val="00B07A47"/>
    <w:rsid w:val="00BC3FE8"/>
    <w:rsid w:val="00BE2E62"/>
    <w:rsid w:val="00C663D6"/>
    <w:rsid w:val="00C67097"/>
    <w:rsid w:val="00C96D4F"/>
    <w:rsid w:val="00CF4339"/>
    <w:rsid w:val="00D07400"/>
    <w:rsid w:val="00D473DF"/>
    <w:rsid w:val="00D56981"/>
    <w:rsid w:val="00DC643B"/>
    <w:rsid w:val="00E077F8"/>
    <w:rsid w:val="00E66F65"/>
    <w:rsid w:val="00E73BA6"/>
    <w:rsid w:val="00FB12A4"/>
    <w:rsid w:val="00FB589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750A"/>
  <w15:docId w15:val="{D84C5272-E1EC-4F85-B89E-FC82246E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0DFA"/>
    <w:rPr>
      <w:sz w:val="16"/>
      <w:szCs w:val="16"/>
    </w:rPr>
  </w:style>
  <w:style w:type="paragraph" w:styleId="CommentText">
    <w:name w:val="annotation text"/>
    <w:basedOn w:val="Normal"/>
    <w:link w:val="CommentTextChar"/>
    <w:uiPriority w:val="99"/>
    <w:semiHidden/>
    <w:unhideWhenUsed/>
    <w:rsid w:val="00560DFA"/>
    <w:pPr>
      <w:spacing w:line="240" w:lineRule="auto"/>
    </w:pPr>
    <w:rPr>
      <w:sz w:val="20"/>
      <w:szCs w:val="20"/>
    </w:rPr>
  </w:style>
  <w:style w:type="character" w:customStyle="1" w:styleId="CommentTextChar">
    <w:name w:val="Comment Text Char"/>
    <w:basedOn w:val="DefaultParagraphFont"/>
    <w:link w:val="CommentText"/>
    <w:uiPriority w:val="99"/>
    <w:semiHidden/>
    <w:rsid w:val="00560DFA"/>
    <w:rPr>
      <w:sz w:val="20"/>
      <w:szCs w:val="20"/>
    </w:rPr>
  </w:style>
  <w:style w:type="paragraph" w:styleId="CommentSubject">
    <w:name w:val="annotation subject"/>
    <w:basedOn w:val="CommentText"/>
    <w:next w:val="CommentText"/>
    <w:link w:val="CommentSubjectChar"/>
    <w:uiPriority w:val="99"/>
    <w:semiHidden/>
    <w:unhideWhenUsed/>
    <w:rsid w:val="00560DFA"/>
    <w:rPr>
      <w:b/>
      <w:bCs/>
    </w:rPr>
  </w:style>
  <w:style w:type="character" w:customStyle="1" w:styleId="CommentSubjectChar">
    <w:name w:val="Comment Subject Char"/>
    <w:basedOn w:val="CommentTextChar"/>
    <w:link w:val="CommentSubject"/>
    <w:uiPriority w:val="99"/>
    <w:semiHidden/>
    <w:rsid w:val="00560DFA"/>
    <w:rPr>
      <w:b/>
      <w:bCs/>
      <w:sz w:val="20"/>
      <w:szCs w:val="20"/>
    </w:rPr>
  </w:style>
  <w:style w:type="paragraph" w:styleId="BalloonText">
    <w:name w:val="Balloon Text"/>
    <w:basedOn w:val="Normal"/>
    <w:link w:val="BalloonTextChar"/>
    <w:uiPriority w:val="99"/>
    <w:semiHidden/>
    <w:unhideWhenUsed/>
    <w:rsid w:val="0056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FA"/>
    <w:rPr>
      <w:rFonts w:ascii="Tahoma" w:hAnsi="Tahoma" w:cs="Tahoma"/>
      <w:sz w:val="16"/>
      <w:szCs w:val="16"/>
    </w:rPr>
  </w:style>
  <w:style w:type="character" w:styleId="Hyperlink">
    <w:name w:val="Hyperlink"/>
    <w:basedOn w:val="DefaultParagraphFont"/>
    <w:uiPriority w:val="99"/>
    <w:unhideWhenUsed/>
    <w:rsid w:val="00A2099D"/>
    <w:rPr>
      <w:color w:val="0000FF" w:themeColor="hyperlink"/>
      <w:u w:val="single"/>
    </w:rPr>
  </w:style>
  <w:style w:type="paragraph" w:styleId="NormalWeb">
    <w:name w:val="Normal (Web)"/>
    <w:basedOn w:val="Normal"/>
    <w:uiPriority w:val="99"/>
    <w:unhideWhenUsed/>
    <w:rsid w:val="00A209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2228979526154194626m-7390372226457643130gmail-m4997922478697600829m5102785107752055636m-2488537245438955789m-623062644141663812m-3582590349862543700m274112283789891648gmail-5yl5">
    <w:name w:val="m_-2228979526154194626m_-7390372226457643130gmail-m_4997922478697600829m_5102785107752055636m_-2488537245438955789m_-623062644141663812m_-3582590349862543700m_274112283789891648gmail-_5yl5"/>
    <w:basedOn w:val="DefaultParagraphFont"/>
    <w:rsid w:val="00370D52"/>
  </w:style>
  <w:style w:type="paragraph" w:styleId="Revision">
    <w:name w:val="Revision"/>
    <w:hidden/>
    <w:uiPriority w:val="99"/>
    <w:semiHidden/>
    <w:rsid w:val="001C116A"/>
    <w:pPr>
      <w:spacing w:after="0" w:line="240" w:lineRule="auto"/>
    </w:pPr>
  </w:style>
  <w:style w:type="character" w:styleId="Strong">
    <w:name w:val="Strong"/>
    <w:basedOn w:val="DefaultParagraphFont"/>
    <w:uiPriority w:val="22"/>
    <w:qFormat/>
    <w:rsid w:val="003E7BB1"/>
    <w:rPr>
      <w:b/>
      <w:bCs/>
    </w:rPr>
  </w:style>
  <w:style w:type="character" w:styleId="Emphasis">
    <w:name w:val="Emphasis"/>
    <w:basedOn w:val="DefaultParagraphFont"/>
    <w:uiPriority w:val="20"/>
    <w:qFormat/>
    <w:rsid w:val="003E7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638">
      <w:bodyDiv w:val="1"/>
      <w:marLeft w:val="0"/>
      <w:marRight w:val="0"/>
      <w:marTop w:val="0"/>
      <w:marBottom w:val="0"/>
      <w:divBdr>
        <w:top w:val="none" w:sz="0" w:space="0" w:color="auto"/>
        <w:left w:val="none" w:sz="0" w:space="0" w:color="auto"/>
        <w:bottom w:val="none" w:sz="0" w:space="0" w:color="auto"/>
        <w:right w:val="none" w:sz="0" w:space="0" w:color="auto"/>
      </w:divBdr>
      <w:divsChild>
        <w:div w:id="871646692">
          <w:marLeft w:val="0"/>
          <w:marRight w:val="0"/>
          <w:marTop w:val="0"/>
          <w:marBottom w:val="0"/>
          <w:divBdr>
            <w:top w:val="none" w:sz="0" w:space="0" w:color="auto"/>
            <w:left w:val="none" w:sz="0" w:space="0" w:color="auto"/>
            <w:bottom w:val="none" w:sz="0" w:space="0" w:color="auto"/>
            <w:right w:val="none" w:sz="0" w:space="0" w:color="auto"/>
          </w:divBdr>
        </w:div>
        <w:div w:id="1587111965">
          <w:marLeft w:val="0"/>
          <w:marRight w:val="0"/>
          <w:marTop w:val="0"/>
          <w:marBottom w:val="0"/>
          <w:divBdr>
            <w:top w:val="none" w:sz="0" w:space="0" w:color="auto"/>
            <w:left w:val="none" w:sz="0" w:space="0" w:color="auto"/>
            <w:bottom w:val="none" w:sz="0" w:space="0" w:color="auto"/>
            <w:right w:val="none" w:sz="0" w:space="0" w:color="auto"/>
          </w:divBdr>
        </w:div>
        <w:div w:id="1376152360">
          <w:marLeft w:val="0"/>
          <w:marRight w:val="0"/>
          <w:marTop w:val="0"/>
          <w:marBottom w:val="0"/>
          <w:divBdr>
            <w:top w:val="none" w:sz="0" w:space="0" w:color="auto"/>
            <w:left w:val="none" w:sz="0" w:space="0" w:color="auto"/>
            <w:bottom w:val="none" w:sz="0" w:space="0" w:color="auto"/>
            <w:right w:val="none" w:sz="0" w:space="0" w:color="auto"/>
          </w:divBdr>
        </w:div>
        <w:div w:id="1980763036">
          <w:marLeft w:val="0"/>
          <w:marRight w:val="0"/>
          <w:marTop w:val="0"/>
          <w:marBottom w:val="0"/>
          <w:divBdr>
            <w:top w:val="none" w:sz="0" w:space="0" w:color="auto"/>
            <w:left w:val="none" w:sz="0" w:space="0" w:color="auto"/>
            <w:bottom w:val="none" w:sz="0" w:space="0" w:color="auto"/>
            <w:right w:val="none" w:sz="0" w:space="0" w:color="auto"/>
          </w:divBdr>
        </w:div>
        <w:div w:id="1732121163">
          <w:marLeft w:val="0"/>
          <w:marRight w:val="0"/>
          <w:marTop w:val="0"/>
          <w:marBottom w:val="0"/>
          <w:divBdr>
            <w:top w:val="none" w:sz="0" w:space="0" w:color="auto"/>
            <w:left w:val="none" w:sz="0" w:space="0" w:color="auto"/>
            <w:bottom w:val="none" w:sz="0" w:space="0" w:color="auto"/>
            <w:right w:val="none" w:sz="0" w:space="0" w:color="auto"/>
          </w:divBdr>
        </w:div>
        <w:div w:id="1130905778">
          <w:marLeft w:val="0"/>
          <w:marRight w:val="0"/>
          <w:marTop w:val="0"/>
          <w:marBottom w:val="0"/>
          <w:divBdr>
            <w:top w:val="none" w:sz="0" w:space="0" w:color="auto"/>
            <w:left w:val="none" w:sz="0" w:space="0" w:color="auto"/>
            <w:bottom w:val="none" w:sz="0" w:space="0" w:color="auto"/>
            <w:right w:val="none" w:sz="0" w:space="0" w:color="auto"/>
          </w:divBdr>
        </w:div>
      </w:divsChild>
    </w:div>
    <w:div w:id="438065836">
      <w:bodyDiv w:val="1"/>
      <w:marLeft w:val="0"/>
      <w:marRight w:val="0"/>
      <w:marTop w:val="0"/>
      <w:marBottom w:val="0"/>
      <w:divBdr>
        <w:top w:val="none" w:sz="0" w:space="0" w:color="auto"/>
        <w:left w:val="none" w:sz="0" w:space="0" w:color="auto"/>
        <w:bottom w:val="none" w:sz="0" w:space="0" w:color="auto"/>
        <w:right w:val="none" w:sz="0" w:space="0" w:color="auto"/>
      </w:divBdr>
    </w:div>
    <w:div w:id="578172838">
      <w:bodyDiv w:val="1"/>
      <w:marLeft w:val="0"/>
      <w:marRight w:val="0"/>
      <w:marTop w:val="0"/>
      <w:marBottom w:val="0"/>
      <w:divBdr>
        <w:top w:val="none" w:sz="0" w:space="0" w:color="auto"/>
        <w:left w:val="none" w:sz="0" w:space="0" w:color="auto"/>
        <w:bottom w:val="none" w:sz="0" w:space="0" w:color="auto"/>
        <w:right w:val="none" w:sz="0" w:space="0" w:color="auto"/>
      </w:divBdr>
    </w:div>
    <w:div w:id="631789367">
      <w:bodyDiv w:val="1"/>
      <w:marLeft w:val="0"/>
      <w:marRight w:val="0"/>
      <w:marTop w:val="0"/>
      <w:marBottom w:val="0"/>
      <w:divBdr>
        <w:top w:val="none" w:sz="0" w:space="0" w:color="auto"/>
        <w:left w:val="none" w:sz="0" w:space="0" w:color="auto"/>
        <w:bottom w:val="none" w:sz="0" w:space="0" w:color="auto"/>
        <w:right w:val="none" w:sz="0" w:space="0" w:color="auto"/>
      </w:divBdr>
    </w:div>
    <w:div w:id="745037903">
      <w:bodyDiv w:val="1"/>
      <w:marLeft w:val="0"/>
      <w:marRight w:val="0"/>
      <w:marTop w:val="0"/>
      <w:marBottom w:val="0"/>
      <w:divBdr>
        <w:top w:val="none" w:sz="0" w:space="0" w:color="auto"/>
        <w:left w:val="none" w:sz="0" w:space="0" w:color="auto"/>
        <w:bottom w:val="none" w:sz="0" w:space="0" w:color="auto"/>
        <w:right w:val="none" w:sz="0" w:space="0" w:color="auto"/>
      </w:divBdr>
      <w:divsChild>
        <w:div w:id="1597443132">
          <w:marLeft w:val="0"/>
          <w:marRight w:val="0"/>
          <w:marTop w:val="0"/>
          <w:marBottom w:val="0"/>
          <w:divBdr>
            <w:top w:val="none" w:sz="0" w:space="0" w:color="auto"/>
            <w:left w:val="none" w:sz="0" w:space="0" w:color="auto"/>
            <w:bottom w:val="none" w:sz="0" w:space="0" w:color="auto"/>
            <w:right w:val="none" w:sz="0" w:space="0" w:color="auto"/>
          </w:divBdr>
        </w:div>
        <w:div w:id="1684621992">
          <w:marLeft w:val="0"/>
          <w:marRight w:val="0"/>
          <w:marTop w:val="0"/>
          <w:marBottom w:val="0"/>
          <w:divBdr>
            <w:top w:val="none" w:sz="0" w:space="0" w:color="auto"/>
            <w:left w:val="none" w:sz="0" w:space="0" w:color="auto"/>
            <w:bottom w:val="none" w:sz="0" w:space="0" w:color="auto"/>
            <w:right w:val="none" w:sz="0" w:space="0" w:color="auto"/>
          </w:divBdr>
        </w:div>
      </w:divsChild>
    </w:div>
    <w:div w:id="745228503">
      <w:bodyDiv w:val="1"/>
      <w:marLeft w:val="0"/>
      <w:marRight w:val="0"/>
      <w:marTop w:val="0"/>
      <w:marBottom w:val="0"/>
      <w:divBdr>
        <w:top w:val="none" w:sz="0" w:space="0" w:color="auto"/>
        <w:left w:val="none" w:sz="0" w:space="0" w:color="auto"/>
        <w:bottom w:val="none" w:sz="0" w:space="0" w:color="auto"/>
        <w:right w:val="none" w:sz="0" w:space="0" w:color="auto"/>
      </w:divBdr>
      <w:divsChild>
        <w:div w:id="919680479">
          <w:marLeft w:val="0"/>
          <w:marRight w:val="0"/>
          <w:marTop w:val="0"/>
          <w:marBottom w:val="0"/>
          <w:divBdr>
            <w:top w:val="none" w:sz="0" w:space="0" w:color="auto"/>
            <w:left w:val="none" w:sz="0" w:space="0" w:color="auto"/>
            <w:bottom w:val="none" w:sz="0" w:space="0" w:color="auto"/>
            <w:right w:val="none" w:sz="0" w:space="0" w:color="auto"/>
          </w:divBdr>
        </w:div>
        <w:div w:id="1264537767">
          <w:marLeft w:val="0"/>
          <w:marRight w:val="0"/>
          <w:marTop w:val="0"/>
          <w:marBottom w:val="0"/>
          <w:divBdr>
            <w:top w:val="none" w:sz="0" w:space="0" w:color="auto"/>
            <w:left w:val="none" w:sz="0" w:space="0" w:color="auto"/>
            <w:bottom w:val="none" w:sz="0" w:space="0" w:color="auto"/>
            <w:right w:val="none" w:sz="0" w:space="0" w:color="auto"/>
          </w:divBdr>
        </w:div>
        <w:div w:id="899443014">
          <w:marLeft w:val="0"/>
          <w:marRight w:val="0"/>
          <w:marTop w:val="0"/>
          <w:marBottom w:val="0"/>
          <w:divBdr>
            <w:top w:val="none" w:sz="0" w:space="0" w:color="auto"/>
            <w:left w:val="none" w:sz="0" w:space="0" w:color="auto"/>
            <w:bottom w:val="none" w:sz="0" w:space="0" w:color="auto"/>
            <w:right w:val="none" w:sz="0" w:space="0" w:color="auto"/>
          </w:divBdr>
        </w:div>
        <w:div w:id="1122921288">
          <w:marLeft w:val="0"/>
          <w:marRight w:val="0"/>
          <w:marTop w:val="0"/>
          <w:marBottom w:val="0"/>
          <w:divBdr>
            <w:top w:val="none" w:sz="0" w:space="0" w:color="auto"/>
            <w:left w:val="none" w:sz="0" w:space="0" w:color="auto"/>
            <w:bottom w:val="none" w:sz="0" w:space="0" w:color="auto"/>
            <w:right w:val="none" w:sz="0" w:space="0" w:color="auto"/>
          </w:divBdr>
        </w:div>
        <w:div w:id="1308509865">
          <w:marLeft w:val="0"/>
          <w:marRight w:val="0"/>
          <w:marTop w:val="0"/>
          <w:marBottom w:val="0"/>
          <w:divBdr>
            <w:top w:val="none" w:sz="0" w:space="0" w:color="auto"/>
            <w:left w:val="none" w:sz="0" w:space="0" w:color="auto"/>
            <w:bottom w:val="none" w:sz="0" w:space="0" w:color="auto"/>
            <w:right w:val="none" w:sz="0" w:space="0" w:color="auto"/>
          </w:divBdr>
        </w:div>
        <w:div w:id="1277711889">
          <w:marLeft w:val="0"/>
          <w:marRight w:val="0"/>
          <w:marTop w:val="0"/>
          <w:marBottom w:val="0"/>
          <w:divBdr>
            <w:top w:val="none" w:sz="0" w:space="0" w:color="auto"/>
            <w:left w:val="none" w:sz="0" w:space="0" w:color="auto"/>
            <w:bottom w:val="none" w:sz="0" w:space="0" w:color="auto"/>
            <w:right w:val="none" w:sz="0" w:space="0" w:color="auto"/>
          </w:divBdr>
        </w:div>
        <w:div w:id="1812020708">
          <w:marLeft w:val="0"/>
          <w:marRight w:val="0"/>
          <w:marTop w:val="0"/>
          <w:marBottom w:val="0"/>
          <w:divBdr>
            <w:top w:val="none" w:sz="0" w:space="0" w:color="auto"/>
            <w:left w:val="none" w:sz="0" w:space="0" w:color="auto"/>
            <w:bottom w:val="none" w:sz="0" w:space="0" w:color="auto"/>
            <w:right w:val="none" w:sz="0" w:space="0" w:color="auto"/>
          </w:divBdr>
        </w:div>
        <w:div w:id="1528903622">
          <w:marLeft w:val="0"/>
          <w:marRight w:val="0"/>
          <w:marTop w:val="0"/>
          <w:marBottom w:val="0"/>
          <w:divBdr>
            <w:top w:val="none" w:sz="0" w:space="0" w:color="auto"/>
            <w:left w:val="none" w:sz="0" w:space="0" w:color="auto"/>
            <w:bottom w:val="none" w:sz="0" w:space="0" w:color="auto"/>
            <w:right w:val="none" w:sz="0" w:space="0" w:color="auto"/>
          </w:divBdr>
        </w:div>
        <w:div w:id="1105267125">
          <w:marLeft w:val="0"/>
          <w:marRight w:val="0"/>
          <w:marTop w:val="0"/>
          <w:marBottom w:val="0"/>
          <w:divBdr>
            <w:top w:val="none" w:sz="0" w:space="0" w:color="auto"/>
            <w:left w:val="none" w:sz="0" w:space="0" w:color="auto"/>
            <w:bottom w:val="none" w:sz="0" w:space="0" w:color="auto"/>
            <w:right w:val="none" w:sz="0" w:space="0" w:color="auto"/>
          </w:divBdr>
        </w:div>
        <w:div w:id="43456461">
          <w:marLeft w:val="0"/>
          <w:marRight w:val="0"/>
          <w:marTop w:val="0"/>
          <w:marBottom w:val="0"/>
          <w:divBdr>
            <w:top w:val="none" w:sz="0" w:space="0" w:color="auto"/>
            <w:left w:val="none" w:sz="0" w:space="0" w:color="auto"/>
            <w:bottom w:val="none" w:sz="0" w:space="0" w:color="auto"/>
            <w:right w:val="none" w:sz="0" w:space="0" w:color="auto"/>
          </w:divBdr>
        </w:div>
        <w:div w:id="750463664">
          <w:marLeft w:val="0"/>
          <w:marRight w:val="0"/>
          <w:marTop w:val="0"/>
          <w:marBottom w:val="0"/>
          <w:divBdr>
            <w:top w:val="none" w:sz="0" w:space="0" w:color="auto"/>
            <w:left w:val="none" w:sz="0" w:space="0" w:color="auto"/>
            <w:bottom w:val="none" w:sz="0" w:space="0" w:color="auto"/>
            <w:right w:val="none" w:sz="0" w:space="0" w:color="auto"/>
          </w:divBdr>
        </w:div>
      </w:divsChild>
    </w:div>
    <w:div w:id="786464225">
      <w:bodyDiv w:val="1"/>
      <w:marLeft w:val="0"/>
      <w:marRight w:val="0"/>
      <w:marTop w:val="0"/>
      <w:marBottom w:val="0"/>
      <w:divBdr>
        <w:top w:val="none" w:sz="0" w:space="0" w:color="auto"/>
        <w:left w:val="none" w:sz="0" w:space="0" w:color="auto"/>
        <w:bottom w:val="none" w:sz="0" w:space="0" w:color="auto"/>
        <w:right w:val="none" w:sz="0" w:space="0" w:color="auto"/>
      </w:divBdr>
    </w:div>
    <w:div w:id="1119185329">
      <w:bodyDiv w:val="1"/>
      <w:marLeft w:val="0"/>
      <w:marRight w:val="0"/>
      <w:marTop w:val="0"/>
      <w:marBottom w:val="0"/>
      <w:divBdr>
        <w:top w:val="none" w:sz="0" w:space="0" w:color="auto"/>
        <w:left w:val="none" w:sz="0" w:space="0" w:color="auto"/>
        <w:bottom w:val="none" w:sz="0" w:space="0" w:color="auto"/>
        <w:right w:val="none" w:sz="0" w:space="0" w:color="auto"/>
      </w:divBdr>
    </w:div>
    <w:div w:id="1632705843">
      <w:bodyDiv w:val="1"/>
      <w:marLeft w:val="0"/>
      <w:marRight w:val="0"/>
      <w:marTop w:val="0"/>
      <w:marBottom w:val="0"/>
      <w:divBdr>
        <w:top w:val="none" w:sz="0" w:space="0" w:color="auto"/>
        <w:left w:val="none" w:sz="0" w:space="0" w:color="auto"/>
        <w:bottom w:val="none" w:sz="0" w:space="0" w:color="auto"/>
        <w:right w:val="none" w:sz="0" w:space="0" w:color="auto"/>
      </w:divBdr>
    </w:div>
    <w:div w:id="1848716699">
      <w:bodyDiv w:val="1"/>
      <w:marLeft w:val="0"/>
      <w:marRight w:val="0"/>
      <w:marTop w:val="0"/>
      <w:marBottom w:val="0"/>
      <w:divBdr>
        <w:top w:val="none" w:sz="0" w:space="0" w:color="auto"/>
        <w:left w:val="none" w:sz="0" w:space="0" w:color="auto"/>
        <w:bottom w:val="none" w:sz="0" w:space="0" w:color="auto"/>
        <w:right w:val="none" w:sz="0" w:space="0" w:color="auto"/>
      </w:divBdr>
    </w:div>
    <w:div w:id="21159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anti-trafficking/sites/antitrafficking/files/rantsev_vs_russia_cyprus_en_4.pdf" TargetMode="External"/><Relationship Id="rId13" Type="http://schemas.openxmlformats.org/officeDocument/2006/relationships/hyperlink" Target="http://www.justice.gov.il/Units/Trafficking/MainDocs/A%20Toolkit%20for%20Identifying%20Victims%20of%20Forced%20Labour%20and%20Slavery.pdf" TargetMode="External"/><Relationship Id="rId3" Type="http://schemas.openxmlformats.org/officeDocument/2006/relationships/settings" Target="settings.xml"/><Relationship Id="rId7" Type="http://schemas.openxmlformats.org/officeDocument/2006/relationships/hyperlink" Target="https://www.unodc.org/res/cld/case-law-doc/traffickingpersonscrimetype/ner/2008/h_m__v__republic_of_niger_html/Hadijatou_Mani_v._Republic_of_Niger_Community_Court_of_Justice_Unofficial_English_translation.pdf" TargetMode="External"/><Relationship Id="rId12" Type="http://schemas.openxmlformats.org/officeDocument/2006/relationships/hyperlink" Target="https://hudoc.echr.coe.int/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anti-trafficking/sites/antitrafficking/files/siliadin_v_france_en_4.pdf" TargetMode="External"/><Relationship Id="rId11" Type="http://schemas.openxmlformats.org/officeDocument/2006/relationships/hyperlink" Target="https://hudoc.echr.coe.int/eng" TargetMode="External"/><Relationship Id="rId5" Type="http://schemas.openxmlformats.org/officeDocument/2006/relationships/hyperlink" Target="http://www.icty.org/case/kunarac/4" TargetMode="External"/><Relationship Id="rId15" Type="http://schemas.openxmlformats.org/officeDocument/2006/relationships/theme" Target="theme/theme1.xml"/><Relationship Id="rId10" Type="http://schemas.openxmlformats.org/officeDocument/2006/relationships/hyperlink" Target="http://www.asylumlawdatabase.eu/en/content/ecthr-chowdury-and-others-v-greece-application-no-2188415-30-march-2017" TargetMode="External"/><Relationship Id="rId4" Type="http://schemas.openxmlformats.org/officeDocument/2006/relationships/webSettings" Target="webSettings.xml"/><Relationship Id="rId9" Type="http://schemas.openxmlformats.org/officeDocument/2006/relationships/hyperlink" Target="https://hudoc.echr.coe.int/e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8929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Sigal Rozen</cp:lastModifiedBy>
  <cp:revision>3</cp:revision>
  <dcterms:created xsi:type="dcterms:W3CDTF">2021-04-18T12:48:00Z</dcterms:created>
  <dcterms:modified xsi:type="dcterms:W3CDTF">2021-04-18T12:49:00Z</dcterms:modified>
</cp:coreProperties>
</file>